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1044</w:t>
        <w:t xml:space="preserve">.  </w:t>
      </w:r>
      <w:r>
        <w:rPr>
          <w:b/>
        </w:rPr>
        <w:t xml:space="preserve">Contracts</w:t>
      </w:r>
    </w:p>
    <w:p>
      <w:pPr>
        <w:jc w:val="both"/>
        <w:spacing w:before="100" w:after="100"/>
        <w:ind w:start="360"/>
        <w:ind w:firstLine="360"/>
      </w:pPr>
      <w:r>
        <w:rPr/>
      </w:r>
      <w:r>
        <w:rPr/>
      </w:r>
      <w:r>
        <w:t xml:space="preserve">A standard district, through its trustees, in order to carry out the purposes of its incorporation, may contract with a person, standard district, utility or corporation or with a municipality, the State or other governmental entity whether located inside or outside the boundaries of the standard district.</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§1044.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§1044.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§1044.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