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5200-B</w:t>
        <w:t xml:space="preserve">.  </w:t>
      </w:r>
      <w:r>
        <w:rPr>
          <w:b/>
        </w:rPr>
        <w:t xml:space="preserve">Corporate income tax nexus</w:t>
      </w:r>
    </w:p>
    <w:p>
      <w:pPr>
        <w:jc w:val="both"/>
        <w:spacing w:before="100" w:after="100"/>
        <w:ind w:start="360"/>
        <w:ind w:firstLine="360"/>
      </w:pPr>
      <w:r>
        <w:rPr>
          <w:b/>
        </w:rPr>
        <w:t>1</w:t>
        <w:t xml:space="preserve">.  </w:t>
      </w:r>
      <w:r>
        <w:rPr>
          <w:b/>
        </w:rPr>
        <w:t xml:space="preserve">Nexus established.</w:t>
        <w:t xml:space="preserve"> </w:t>
      </w:r>
      <w:r>
        <w:t xml:space="preserve"> </w:t>
      </w:r>
      <w:r>
        <w:t xml:space="preserve">A corporation has nexus with this State, for the purposes of the tax imposed under </w:t>
      </w:r>
      <w:r>
        <w:t>section 5200</w:t>
      </w:r>
      <w:r>
        <w:t xml:space="preserve">, if that corporation:</w:t>
      </w:r>
    </w:p>
    <w:p>
      <w:pPr>
        <w:jc w:val="both"/>
        <w:spacing w:before="100" w:after="0"/>
        <w:ind w:start="720"/>
      </w:pPr>
      <w:r>
        <w:rPr/>
        <w:t>A</w:t>
        <w:t xml:space="preserve">.  </w:t>
      </w:r>
      <w:r>
        <w:rPr/>
      </w:r>
      <w:r>
        <w:t xml:space="preserve">Is organized or commercially domiciled in this State; or</w:t>
      </w:r>
      <w:r>
        <w:t xml:space="preserve">  </w:t>
      </w:r>
      <w:r xmlns:wp="http://schemas.openxmlformats.org/drawingml/2010/wordprocessingDrawing" xmlns:w15="http://schemas.microsoft.com/office/word/2012/wordml">
        <w:rPr>
          <w:rFonts w:ascii="Arial" w:hAnsi="Arial" w:cs="Arial"/>
          <w:sz w:val="22"/>
          <w:szCs w:val="22"/>
        </w:rPr>
        <w:t xml:space="preserve">[PL 2021, c. 181, Pt. E, §2 (NEW); PL 2021, c. 181, Pt. E, §4 (AFF).]</w:t>
      </w:r>
    </w:p>
    <w:p>
      <w:pPr>
        <w:jc w:val="both"/>
        <w:spacing w:before="100" w:after="0"/>
        <w:ind w:start="720"/>
      </w:pPr>
      <w:r>
        <w:rPr/>
        <w:t>B</w:t>
        <w:t xml:space="preserve">.  </w:t>
      </w:r>
      <w:r>
        <w:rPr/>
      </w:r>
      <w:r>
        <w:t xml:space="preserve">Is organized or commercially domiciled outside this State, if the corporation's property, payroll or sales, as calculated pursuant to </w:t>
      </w:r>
      <w:r>
        <w:t>subsection 2</w:t>
      </w:r>
      <w:r>
        <w:t xml:space="preserve">, in this State exceed any of the following thresholds for the taxable year:</w:t>
      </w:r>
    </w:p>
    <w:p>
      <w:pPr>
        <w:jc w:val="both"/>
        <w:spacing w:before="100" w:after="0"/>
        <w:ind w:start="1080"/>
      </w:pPr>
      <w:r>
        <w:rPr/>
        <w:t>(</w:t>
        <w:t>1</w:t>
        <w:t xml:space="preserve">)  </w:t>
      </w:r>
      <w:r>
        <w:rPr/>
      </w:r>
      <w:r>
        <w:t xml:space="preserve">For property, $250,000;</w:t>
      </w:r>
    </w:p>
    <w:p>
      <w:pPr>
        <w:jc w:val="both"/>
        <w:spacing w:before="100" w:after="0"/>
        <w:ind w:start="1080"/>
      </w:pPr>
      <w:r>
        <w:rPr/>
        <w:t>(</w:t>
        <w:t>2</w:t>
        <w:t xml:space="preserve">)  </w:t>
      </w:r>
      <w:r>
        <w:rPr/>
      </w:r>
      <w:r>
        <w:t xml:space="preserve">For payroll, $250,000;</w:t>
      </w:r>
    </w:p>
    <w:p>
      <w:pPr>
        <w:jc w:val="both"/>
        <w:spacing w:before="100" w:after="0"/>
        <w:ind w:start="1080"/>
      </w:pPr>
      <w:r>
        <w:rPr/>
        <w:t>(</w:t>
        <w:t>3</w:t>
        <w:t xml:space="preserve">)  </w:t>
      </w:r>
      <w:r>
        <w:rPr/>
      </w:r>
      <w:r>
        <w:t xml:space="preserve">For sales, $500,000; or</w:t>
      </w:r>
    </w:p>
    <w:p>
      <w:pPr>
        <w:jc w:val="both"/>
        <w:spacing w:before="100" w:after="0"/>
        <w:ind w:start="1080"/>
      </w:pPr>
      <w:r>
        <w:rPr/>
        <w:t>(</w:t>
        <w:t>4</w:t>
        <w:t xml:space="preserve">)  </w:t>
      </w:r>
      <w:r>
        <w:rPr/>
      </w:r>
      <w:r>
        <w:t xml:space="preserve">Twenty-five percent of the corporation's property, payroll or sales.</w:t>
      </w:r>
      <w:r>
        <w:t xml:space="preserve">  </w:t>
      </w:r>
      <w:r xmlns:wp="http://schemas.openxmlformats.org/drawingml/2010/wordprocessingDrawing" xmlns:w15="http://schemas.microsoft.com/office/word/2012/wordml">
        <w:rPr>
          <w:rFonts w:ascii="Arial" w:hAnsi="Arial" w:cs="Arial"/>
          <w:sz w:val="22"/>
          <w:szCs w:val="22"/>
        </w:rPr>
        <w:t xml:space="preserve">[PL 2021, c. 181, Pt. E, §2 (NEW); PL 2021, c. 181, Pt. E,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§2 (NEW); PL 2021, c. 181, Pt. E, §4 (AFF).]</w:t>
      </w:r>
    </w:p>
    <w:p>
      <w:pPr>
        <w:jc w:val="both"/>
        <w:spacing w:before="100" w:after="0"/>
        <w:ind w:start="360"/>
        <w:ind w:firstLine="360"/>
      </w:pPr>
      <w:r>
        <w:rPr>
          <w:b/>
        </w:rPr>
        <w:t>2</w:t>
        <w:t xml:space="preserve">.  </w:t>
      </w:r>
      <w:r>
        <w:rPr>
          <w:b/>
        </w:rPr>
        <w:t xml:space="preserve">Property, payroll and sales defined; calculation.</w:t>
        <w:t xml:space="preserve"> </w:t>
      </w:r>
      <w:r>
        <w:t xml:space="preserve"> </w:t>
      </w:r>
      <w:r>
        <w:t xml:space="preserve">For purposes of this section, property, payroll and sales are calculated as provided under </w:t>
      </w:r>
      <w:r>
        <w:t>chapter 821</w:t>
      </w:r>
      <w:r>
        <w:t xml:space="preserve"> and associated rules adopted by the assessor, except that the sales calculation does not exclude sales of tangible personal property under </w:t>
      </w:r>
      <w:r>
        <w:t>section 5211, subsection 14, paragraph B</w:t>
      </w:r>
      <w:r>
        <w:t xml:space="preserve">. For a taxpayer permitted or required to use a special apportionment method under </w:t>
      </w:r>
      <w:r>
        <w:t>section 5211, subsection 17</w:t>
      </w:r>
      <w:r>
        <w:t xml:space="preserve">, the property, payroll and sales used to determine nexus under this section must be consistent with the property, payroll and sales used for the special apportionment method.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§2 (NEW); PL 2021, c. 181, Pt. E, §4 (AFF).]</w:t>
      </w:r>
    </w:p>
    <w:p>
      <w:pPr>
        <w:jc w:val="both"/>
        <w:spacing w:before="100" w:after="0"/>
        <w:ind w:start="360"/>
        <w:ind w:firstLine="360"/>
      </w:pPr>
      <w:r>
        <w:rPr>
          <w:b/>
        </w:rPr>
        <w:t>3</w:t>
        <w:t xml:space="preserve">.  </w:t>
      </w:r>
      <w:r>
        <w:rPr>
          <w:b/>
        </w:rPr>
        <w:t xml:space="preserve">Corporate partners.</w:t>
        <w:t xml:space="preserve"> </w:t>
      </w:r>
      <w:r>
        <w:t xml:space="preserve"> </w:t>
      </w:r>
      <w:r>
        <w:t xml:space="preserve">A corporation that holds an interest directly or indirectly in a partnership has nexus with this State if the partnership is organized or commercially domiciled in this State or if the partnership's property, payroll or sales, as calculated pursuant to </w:t>
      </w:r>
      <w:r>
        <w:t>subsection 2</w:t>
      </w:r>
      <w:r>
        <w:t xml:space="preserve">, in this State exceed any of the thresholds in </w:t>
      </w:r>
      <w:r>
        <w:t>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§2 (NEW); PL 2021, c. 181, Pt. E, §4 (AFF).]</w:t>
      </w:r>
    </w:p>
    <w:p>
      <w:pPr>
        <w:jc w:val="both"/>
        <w:spacing w:before="100" w:after="0"/>
        <w:ind w:start="360"/>
        <w:ind w:firstLine="360"/>
      </w:pPr>
      <w:r>
        <w:rPr>
          <w:b/>
        </w:rPr>
        <w:t>4</w:t>
        <w:t xml:space="preserve">.  </w:t>
      </w:r>
      <w:r>
        <w:rPr>
          <w:b/>
        </w:rPr>
        <w:t xml:space="preserve">Federal protection.</w:t>
        <w:t xml:space="preserve"> </w:t>
      </w:r>
      <w:r>
        <w:t xml:space="preserve"> </w:t>
      </w:r>
      <w:r>
        <w:t xml:space="preserve">A state that is without jurisdiction to impose a tax on the net income of a taxpayer because that taxpayer comes under the protection of 15 United States Code, Sections 381 to 384, does not gain jurisdiction to impose such a tax because the taxpayer's property, payroll or sales in the State exceed a threshold established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§2 (NEW); PL 2021, c. 181, Pt. E,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E, §2 (NEW). PL 2021, c. 181, Pt. E,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§5200-B. Corporate income tax nexus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§5200-B. Corporate income tax nexus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§5200-B. CORPORATE INCOME TAX NEXUS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