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w:t>
        <w:t xml:space="preserve">.  </w:t>
      </w:r>
      <w:r>
        <w:rPr>
          <w:b/>
        </w:rPr>
        <w:t xml:space="preserve">Declaration of jeopardy</w:t>
      </w:r>
    </w:p>
    <w:p>
      <w:pPr>
        <w:jc w:val="both"/>
        <w:spacing w:before="100" w:after="100"/>
        <w:ind w:start="360"/>
        <w:ind w:firstLine="360"/>
      </w:pPr>
      <w:r>
        <w:rPr/>
      </w:r>
      <w:r>
        <w:rPr/>
      </w:r>
      <w:r>
        <w:t xml:space="preserve">If the State Tax Assessor determines that the collection of any tax will be jeopardized by delay, the assessor, upon giving notice of this determination to the person liable for the tax by personal service or certified mail, may demand an immediate return with respect to any period or immediate payment of any tax declared to be in jeopardy, or both, and may terminate the current reporting period and demand an immediate return and payment with respect to that period. Notwithstanding any other provision of law, taxes declared to be in jeopardy are payable immediately, and the assessor may proceed immediately to collect those taxes by any collection method authorized by this Title. The person liable for the tax may stay collection by requesting reconsideration of the declaration of jeopardy in accordance with </w:t>
      </w:r>
      <w:r>
        <w:t>section 151</w:t>
      </w:r>
      <w:r>
        <w:t xml:space="preserve"> and depositing with the assessor within 30 days from receipt of notice of the determination of jeopardy a bond or other security in the amount of the liability with respect to which the stay of collection is sought. A determination of jeopardy by the assessor is presumed to be correct, and the burden of showing otherwise is on the taxpayer.</w:t>
      </w:r>
      <w:r>
        <w:t xml:space="preserve">  </w:t>
      </w:r>
      <w:r xmlns:wp="http://schemas.openxmlformats.org/drawingml/2010/wordprocessingDrawing" xmlns:w15="http://schemas.microsoft.com/office/word/2012/wordml">
        <w:rPr>
          <w:rFonts w:ascii="Arial" w:hAnsi="Arial" w:cs="Arial"/>
          <w:sz w:val="22"/>
          <w:szCs w:val="22"/>
        </w:rPr>
        <w:t xml:space="preserve">[PL 2011, c. 380, Pt. J,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§5 (NEW). PL 2011, c. 380, Pt. J,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 Declaration of jeopardy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 Declaration of jeopardy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§145. DECLARATION OF JEOPARDY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