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9206</w:t>
        <w:t xml:space="preserve">.  </w:t>
      </w:r>
      <w:r>
        <w:rPr>
          <w:b/>
        </w:rPr>
        <w:t xml:space="preserve">Federal aid--Article VI</w:t>
      </w:r>
    </w:p>
    <w:p>
      <w:pPr>
        <w:jc w:val="both"/>
        <w:spacing w:before="100" w:after="100"/>
        <w:ind w:start="360"/>
        <w:ind w:firstLine="360"/>
      </w:pPr>
      <w:r>
        <w:rPr/>
      </w:r>
      <w:r>
        <w:rPr/>
      </w:r>
      <w:r>
        <w:t xml:space="preserve">Any state party to this compact may accept federal aid for use in connection with any institution or program, the use of which is or may be affected by this compact or any contract pursuant hereto and any inmate in a receiving state pursuant to this compact may participate in any such federally aided program or activity for which the sending and receiving states have made contractual provision, provided that, if such program or activity is not part of the customary correctional regimen, the express consent of the appropriate official of the sending state shall be required therefor.</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§9206. Federal aid--Article VI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§9206. Federal aid--Article VI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§9206. FEDERAL AID--ARTICLE VI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