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1207</w:t>
        <w:t xml:space="preserve">.  </w:t>
      </w:r>
      <w:r>
        <w:rPr>
          <w:b/>
        </w:rPr>
        <w:t xml:space="preserve">Title in State</w:t>
      </w:r>
    </w:p>
    <w:p>
      <w:pPr>
        <w:jc w:val="both"/>
        <w:spacing w:before="100" w:after="100"/>
        <w:ind w:start="360"/>
        <w:ind w:firstLine="360"/>
      </w:pPr>
      <w:r>
        <w:rPr/>
      </w:r>
      <w:r>
        <w:rPr/>
      </w:r>
      <w:r>
        <w:t xml:space="preserve">Title to each and every coastal island that is not registered by the true owner or authorized representative of such true owner with the Coastal Island Registry on or before December 31, 1975, shall vest in the State of Maine on January 1, 1976, subject to the exceptions and conditions set forth in </w:t>
      </w:r>
      <w:r>
        <w:t>sections 1208</w:t>
      </w:r>
      <w:r>
        <w:t xml:space="preserve"> and </w:t>
      </w:r>
      <w:r>
        <w:t>1210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509, §6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616, §1 (NEW). PL 1975, c. 509, §6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§1207. Title in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§1207. Title in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§1207. TITLE IN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