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289</w:t>
        <w:t xml:space="preserve">.  </w:t>
      </w:r>
      <w:r>
        <w:rPr>
          <w:b/>
        </w:rPr>
        <w:t xml:space="preserve">Rules</w:t>
      </w:r>
    </w:p>
    <w:p>
      <w:pPr>
        <w:jc w:val="both"/>
        <w:spacing w:before="100" w:after="100"/>
        <w:ind w:start="360"/>
        <w:ind w:firstLine="360"/>
      </w:pPr>
      <w:r>
        <w:rPr/>
      </w:r>
      <w:r>
        <w:rPr/>
      </w:r>
      <w:r>
        <w:t xml:space="preserve">The board may establish guidelines and rules by which this chapter is administered.  Rules adopted pursuant to this chapter are routine technical rules pursuant to </w:t>
      </w:r>
      <w:r>
        <w:t>Title 5, chapter 375, subchapter II‑A</w:t>
      </w:r>
      <w:r>
        <w:t xml:space="preserve">.  Rules adopted by the board must be consistent with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146, §5 (NEW).]</w:t>
      </w:r>
    </w:p>
    <w:p>
      <w:pPr>
        <w:jc w:val="both"/>
        <w:spacing w:before="100" w:after="0"/>
        <w:ind w:start="360"/>
        <w:ind w:firstLine="360"/>
      </w:pPr>
      <w:r>
        <w:rPr>
          <w:b/>
        </w:rPr>
        <w:t>1</w:t>
        <w:t xml:space="preserve">.  </w:t>
      </w:r>
      <w:r>
        <w:rPr>
          <w:b/>
        </w:rPr>
        <w:t xml:space="preserve">Adjudicatory 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§3 (RP).]</w:t>
      </w:r>
    </w:p>
    <w:p>
      <w:pPr>
        <w:jc w:val="both"/>
        <w:spacing w:before="100" w:after="0"/>
        <w:ind w:start="360"/>
        <w:ind w:firstLine="360"/>
      </w:pPr>
      <w:r>
        <w:rPr>
          <w:b/>
        </w:rPr>
        <w:t>2</w:t>
        <w:t xml:space="preserve">.  </w:t>
      </w:r>
      <w:r>
        <w:rPr>
          <w:b/>
        </w:rPr>
        <w:t xml:space="preserve">Investigations.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§4 (RP).]</w:t>
      </w:r>
    </w:p>
    <w:p>
      <w:pPr>
        <w:jc w:val="both"/>
        <w:spacing w:before="100" w:after="0"/>
        <w:ind w:start="360"/>
        <w:ind w:firstLine="360"/>
      </w:pPr>
      <w:r>
        <w:rPr>
          <w:b/>
        </w:rPr>
        <w:t>3</w:t>
        <w:t xml:space="preserve">.  </w:t>
      </w:r>
      <w:r>
        <w:rPr>
          <w:b/>
        </w:rPr>
        <w:t xml:space="preserve">Standards of practice.</w:t>
        <w:t xml:space="preserve"> </w:t>
      </w:r>
      <w:r>
        <w:t xml:space="preserve"> </w:t>
      </w:r>
      <w:r>
        <w:t xml:space="preserve">The board may adopt rules governing the practice of auctioneering that establish standards of practice that serve to protect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4</w:t>
        <w:t xml:space="preserve">.  </w:t>
      </w:r>
      <w:r>
        <w:rPr>
          <w:b/>
        </w:rPr>
        <w:t xml:space="preserve">License qualifications.</w:t>
        <w:t xml:space="preserve"> </w:t>
      </w:r>
      <w:r>
        <w:t xml:space="preserve"> </w:t>
      </w:r>
      <w:r>
        <w:t xml:space="preserve">The board may adopt rules relating to the qualifications of an applicant for any license authorized under this chapter that ensure that an applicant is sufficiently trustworthy and competent to practice auctioneering.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5</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323, §16 (RP).]</w:t>
      </w:r>
    </w:p>
    <w:p>
      <w:pPr>
        <w:jc w:val="both"/>
        <w:spacing w:before="100" w:after="0"/>
        <w:ind w:start="360"/>
        <w:ind w:firstLine="360"/>
      </w:pPr>
      <w:r>
        <w:rPr>
          <w:b/>
        </w:rPr>
        <w:t>6</w:t>
        <w:t xml:space="preserve">.  </w:t>
      </w:r>
      <w:r>
        <w:rPr>
          <w:b/>
        </w:rPr>
        <w:t xml:space="preserve">Other.</w:t>
        <w:t xml:space="preserve"> </w:t>
      </w:r>
      <w:r>
        <w:t xml:space="preserve"> </w:t>
      </w:r>
      <w:r>
        <w:t xml:space="preserve">The board may adopt any other rules that are necessary for the performance of its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PL 1999, c. 687, §F3 (AMD). PL 2001, c. 323, §16 (AMD). PL 2007, c. 402, Pt. G,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