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18533</w:t>
        <w:t xml:space="preserve">.  </w:t>
      </w:r>
      <w:r>
        <w:rPr>
          <w:b/>
        </w:rPr>
        <w:t xml:space="preserve">State participation in compact</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To participate in the compact, a state must:</w:t>
      </w:r>
    </w:p>
    <w:p>
      <w:pPr>
        <w:jc w:val="both"/>
        <w:spacing w:before="100" w:after="0"/>
        <w:ind w:start="720"/>
      </w:pPr>
      <w:r>
        <w:rPr/>
        <w:t>A</w:t>
        <w:t xml:space="preserve">.  </w:t>
      </w:r>
      <w:r>
        <w:rPr/>
      </w:r>
      <w:r>
        <w:t xml:space="preserve">License physician assistants;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Participate in the commission's data system;</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Have a mechanism in place for receiving and investigating complaints against licensees and license applicants;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D</w:t>
        <w:t xml:space="preserve">.  </w:t>
      </w:r>
      <w:r>
        <w:rPr/>
      </w:r>
      <w:r>
        <w:t xml:space="preserve">Notify the commission, in compliance with the terms of this compact and commission rules, of any adverse action against a licensee or license applicant and the existence of significant investigative information regarding a licensee or license applicant;</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E</w:t>
        <w:t xml:space="preserve">.  </w:t>
      </w:r>
      <w:r>
        <w:rPr/>
      </w:r>
      <w:r>
        <w:t xml:space="preserve">Fully implement, within a time frame established by commission rule, a criminal background check requirement by its licensing board receiving the results of a criminal background check and reporting to the commission whether the license applicant has been granted a license;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F</w:t>
        <w:t xml:space="preserve">.  </w:t>
      </w:r>
      <w:r>
        <w:rPr/>
      </w:r>
      <w:r>
        <w:t xml:space="preserve">Comply with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G</w:t>
        <w:t xml:space="preserve">.  </w:t>
      </w:r>
      <w:r>
        <w:rPr/>
      </w:r>
      <w:r>
        <w:t xml:space="preserve">Use passage of a recognized national examination as a requirement for physician assistant licensure;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H</w:t>
        <w:t xml:space="preserve">.  </w:t>
      </w:r>
      <w:r>
        <w:rPr/>
      </w:r>
      <w:r>
        <w:t xml:space="preserve">Grant the compact privilege to a holder of a qualifying license in a participating state.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2</w:t>
        <w:t xml:space="preserve">.  </w:t>
      </w:r>
      <w:r>
        <w:rPr>
          <w:b/>
        </w:rPr>
        <w:t xml:space="preserve">No prohibition on fee for compact privilege.</w:t>
        <w:t xml:space="preserve"> </w:t>
      </w:r>
      <w:r>
        <w:t xml:space="preserve"> </w:t>
      </w:r>
      <w:r>
        <w:t xml:space="preserve">Nothing in this compact prohibits a participating state from charging a fee for granting the compact privilege.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§18533. State participation in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§18533. State participation in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§18533. STATE PARTICIPATION IN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