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7063</w:t>
        <w:t xml:space="preserve">.  </w:t>
      </w:r>
      <w:r>
        <w:rPr>
          <w:b/>
        </w:rPr>
        <w:t xml:space="preserve">Adult use cannabis</w:t>
      </w:r>
    </w:p>
    <w:p>
      <w:pPr>
        <w:jc w:val="both"/>
        <w:spacing w:before="100" w:after="100"/>
        <w:ind w:start="360"/>
        <w:ind w:firstLine="360"/>
      </w:pPr>
      <w:r>
        <w:rPr/>
      </w:r>
      <w:r>
        <w:rPr/>
      </w:r>
      <w:r>
        <w:t xml:space="preserve">A plantation has the same powers and duties, and is subject to the same restrictions and requirements, as a municipality under </w:t>
      </w:r>
      <w:r>
        <w:t>section 4452, subsection 5, paragraph W</w:t>
      </w:r>
      <w:r>
        <w:t xml:space="preserve"> and under </w:t>
      </w:r>
      <w:r>
        <w:t>Title 28‑B, chapters 1</w:t>
      </w:r>
      <w:r>
        <w:t xml:space="preserve"> and </w:t>
      </w:r>
      <w:r>
        <w:t>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C,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C, §4 (NEW). PL 2021, c. 669,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§7063. Adult use cannabis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§7063. Adult use cannabis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§7063. ADULT USE CANNABIS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