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6102</w:t>
        <w:t xml:space="preserve">.  </w:t>
      </w:r>
      <w:r>
        <w:rPr>
          <w:b/>
        </w:rPr>
        <w:t xml:space="preserve">Purpose</w:t>
      </w:r>
    </w:p>
    <w:p>
      <w:pPr>
        <w:jc w:val="both"/>
        <w:spacing w:before="100" w:after="100"/>
        <w:ind w:start="360"/>
        <w:ind w:firstLine="360"/>
      </w:pPr>
      <w:r>
        <w:rPr/>
      </w:r>
      <w:r>
        <w:rPr/>
      </w:r>
      <w:r>
        <w:t xml:space="preserve">The purpose of establishing the board is to enable municipalities that have fallen into financial difficulties to receive assistance from the State and to be reestablished on a sound financial basis and to assure the State of the collection of the taxes due from those municipalities to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§6102.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§6102.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