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5235</w:t>
        <w:t xml:space="preserve">.  </w:t>
      </w:r>
      <w:r>
        <w:rPr>
          <w:b/>
        </w:rPr>
        <w:t xml:space="preserve">Unorganized territory</w:t>
      </w:r>
    </w:p>
    <w:p>
      <w:pPr>
        <w:jc w:val="both"/>
        <w:spacing w:before="100" w:after="100"/>
        <w:ind w:start="360"/>
        <w:ind w:firstLine="360"/>
      </w:pPr>
      <w:r>
        <w:rPr/>
      </w:r>
      <w:r>
        <w:rPr/>
      </w:r>
      <w:r>
        <w:t xml:space="preserve">For the purposes of this chapter, a county may act as a municipality for the unorganized territory within the county and may designate development districts within the unorganized territory.  When a county acts under this section, the county commissioners act as the municipality and as the municipal legislative body, the State Tax Assessor acts as the municipal assessor and the unorganized territory fund receives the funds designated for the municipal general fund. For purposes of </w:t>
      </w:r>
      <w:r>
        <w:t>section 5228</w:t>
      </w:r>
      <w:r>
        <w:t xml:space="preserve">, the State acts as the municipal assessing authority.</w:t>
      </w:r>
      <w:r>
        <w:t xml:space="preserve">  </w:t>
      </w:r>
      <w:r xmlns:wp="http://schemas.openxmlformats.org/drawingml/2010/wordprocessingDrawing" xmlns:w15="http://schemas.microsoft.com/office/word/2012/wordml">
        <w:rPr>
          <w:rFonts w:ascii="Arial" w:hAnsi="Arial" w:cs="Arial"/>
          <w:sz w:val="22"/>
          <w:szCs w:val="22"/>
        </w:rPr>
        <w:t xml:space="preserve">[PL 2001, c. 669,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§5235. Unorganized territory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§5235. Unorganized territory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§5235. UNORGANIZED TERRITORY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