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5230</w:t>
        <w:t xml:space="preserve">.  </w:t>
      </w:r>
      <w:r>
        <w:rPr>
          <w:b/>
        </w:rPr>
        <w:t xml:space="preserve">Grants</w:t>
      </w:r>
    </w:p>
    <w:p>
      <w:pPr>
        <w:jc w:val="both"/>
        <w:spacing w:before="100" w:after="100"/>
        <w:ind w:start="360"/>
        <w:ind w:firstLine="360"/>
      </w:pPr>
      <w:r>
        <w:rPr/>
      </w:r>
      <w:r>
        <w:rPr/>
      </w:r>
      <w:r>
        <w:t xml:space="preserve">A municipality or plantation may receive grants or gifts for any of the purposes of this chapter.  The tax increment revenues within a development district may be used as the local match for certain grant programs.</w:t>
      </w:r>
      <w:r>
        <w:t xml:space="preserve">  </w:t>
      </w:r>
      <w:r xmlns:wp="http://schemas.openxmlformats.org/drawingml/2010/wordprocessingDrawing" xmlns:w15="http://schemas.microsoft.com/office/word/2012/wordml">
        <w:rPr>
          <w:rFonts w:ascii="Arial" w:hAnsi="Arial" w:cs="Arial"/>
          <w:sz w:val="22"/>
          <w:szCs w:val="22"/>
        </w:rPr>
        <w:t xml:space="preserve">[PL 2011, c. 101,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 PL 2011, c. 101,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§5230. Grants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§5230. Grants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§5230. GRANTS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