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Mandatory retirement age prohibited</w:t>
      </w:r>
    </w:p>
    <w:p>
      <w:pPr>
        <w:jc w:val="both"/>
        <w:spacing w:before="100" w:after="100"/>
        <w:ind w:start="360"/>
        <w:ind w:firstLine="360"/>
      </w:pPr>
      <w:r>
        <w:rPr/>
      </w:r>
      <w:r>
        <w:rPr/>
      </w:r>
      <w:r>
        <w:t xml:space="preserve">No county or county officer may adopt any rule or take any action which requires a county employee, as a condition of employment, to retire at or before a specified age or after a specified number of years of service.  All of the provisions of </w:t>
      </w:r>
      <w:r>
        <w:t>section 2704</w:t>
      </w:r>
      <w:r>
        <w:t xml:space="preserve"> relating to the prohibition of mandatory retirement of municipal employees also apply to and prohibit the mandatory retirement of county employees.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§502. Mandatory retirement age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Mandatory retirement age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§502. MANDATORY RETIREMENT AGE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