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4316</w:t>
        <w:t xml:space="preserve">.  </w:t>
      </w:r>
      <w:r>
        <w:rPr>
          <w:b/>
        </w:rPr>
        <w:t xml:space="preserve">Data sharing</w:t>
      </w:r>
    </w:p>
    <w:p>
      <w:pPr>
        <w:jc w:val="both"/>
        <w:spacing w:before="100" w:after="100"/>
        <w:ind w:start="360"/>
        <w:ind w:firstLine="360"/>
      </w:pPr>
      <w:r>
        <w:rPr/>
      </w:r>
      <w:r>
        <w:rPr/>
      </w:r>
      <w:r>
        <w:t xml:space="preserve">The department, the Maine State Housing Authority and the Department of Economic and Community Development shall share data useful in assessing and determining growth management policies and standards.</w:t>
      </w:r>
      <w:r>
        <w:t xml:space="preserve">  </w:t>
      </w:r>
      <w:r xmlns:wp="http://schemas.openxmlformats.org/drawingml/2010/wordprocessingDrawing" xmlns:w15="http://schemas.microsoft.com/office/word/2012/wordml">
        <w:rPr>
          <w:rFonts w:ascii="Arial" w:hAnsi="Arial" w:cs="Arial"/>
          <w:sz w:val="22"/>
          <w:szCs w:val="22"/>
        </w:rPr>
        <w:t xml:space="preserve">[PL 2021, c. 754,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§4316. Data sharing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§4316. Data sharing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§4316. DATA SHARING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