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w:t>
        <w:t xml:space="preserve">.  </w:t>
      </w:r>
      <w:r>
        <w:rPr>
          <w:b/>
        </w:rPr>
        <w:t xml:space="preserve">Lead agency</w:t>
      </w:r>
    </w:p>
    <w:p>
      <w:pPr>
        <w:jc w:val="both"/>
        <w:spacing w:before="100" w:after="0"/>
        <w:ind w:start="360"/>
        <w:ind w:firstLine="360"/>
      </w:pPr>
      <w:r>
        <w:rPr>
          <w:b/>
        </w:rPr>
        <w:t>1</w:t>
        <w:t xml:space="preserve">.  </w:t>
      </w:r>
      <w:r>
        <w:rPr>
          <w:b/>
        </w:rPr>
        <w:t xml:space="preserve">Department of Agriculture, Conservation and Forestry.</w:t>
        <w:t xml:space="preserve"> </w:t>
      </w:r>
      <w:r>
        <w:t xml:space="preserve"> </w:t>
      </w:r>
      <w:r>
        <w:t xml:space="preserve">The Department of Agriculture, Conservation and Forestry shall serve as the coordinator between regional councils and the State, shall administer state funds supporting regional council tasks and may provide technical assistance to regional councils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§11 (AMD); PL 2011, c. 655, Pt. JJ, §41 (AFF); PL 2011, c. 657, Pt. W, §5 (REV).]</w:t>
      </w:r>
    </w:p>
    <w:p>
      <w:pPr>
        <w:jc w:val="both"/>
        <w:spacing w:before="100" w:after="0"/>
        <w:ind w:start="360"/>
        <w:ind w:firstLine="360"/>
      </w:pPr>
      <w:r>
        <w:rPr>
          <w:b/>
        </w:rPr>
        <w:t>2</w:t>
        <w:t xml:space="preserve">.  </w:t>
      </w:r>
      <w:r>
        <w:rPr>
          <w:b/>
        </w:rPr>
        <w:t xml:space="preserve">Rulemaking.</w:t>
        <w:t xml:space="preserve"> </w:t>
      </w:r>
      <w:r>
        <w:t xml:space="preserve"> </w:t>
      </w:r>
      <w:r>
        <w:t xml:space="preserve">The Department of Agriculture, Conservation and Forestry may adopt rules to create standardized contracts and administrative and audit requirements for state funds received by regional councils.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§11 (AMD); PL 2011, c. 655, Pt. JJ, §41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2011, c. 655, Pt. JJ, §11 (AMD). PL 2011, c. 655, Pt. JJ, §41 (AFF).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§2303. Lead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 Lead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§2303. LEAD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