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Care and custody</w:t>
      </w:r>
    </w:p>
    <w:p>
      <w:pPr>
        <w:jc w:val="both"/>
        <w:spacing w:before="100" w:after="100"/>
        <w:ind w:start="360"/>
        <w:ind w:firstLine="360"/>
      </w:pPr>
      <w:r>
        <w:rPr/>
      </w:r>
      <w:r>
        <w:rPr/>
      </w:r>
      <w:r>
        <w:t xml:space="preserve">The structures referred to in </w:t>
      </w:r>
      <w:r>
        <w:t>section 1001</w:t>
      </w:r>
      <w:r>
        <w:t xml:space="preserve"> are under the care and custody of the county commissioners.  Any surveyor residing in the county or engaged in surveying in the county shall have free access to the structure for the purpose of testing the variation of the magnetic needle.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§1002. Care and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Care and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§1002. CARE AND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