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2485</w:t>
        <w:t xml:space="preserve">.  </w:t>
      </w:r>
      <w:r>
        <w:rPr>
          <w:b/>
        </w:rPr>
        <w:t xml:space="preserve">Decision; appeal</w:t>
      </w:r>
    </w:p>
    <w:p>
      <w:pPr>
        <w:jc w:val="both"/>
        <w:spacing w:before="100" w:after="0"/>
        <w:ind w:start="360"/>
        <w:ind w:firstLine="360"/>
      </w:pPr>
      <w:r>
        <w:rPr>
          <w:b/>
        </w:rPr>
        <w:t>1</w:t>
        <w:t xml:space="preserve">.  </w:t>
      </w:r>
      <w:r>
        <w:rPr>
          <w:b/>
        </w:rPr>
        <w:t xml:space="preserve">Decision.</w:t>
        <w:t xml:space="preserve"> </w:t>
      </w:r>
      <w:r>
        <w:t xml:space="preserve"> </w:t>
      </w:r>
      <w:r>
        <w:t xml:space="preserve">After hearing, the Secretary of State may rescind, continue, modify or extend the suspension of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§121 (AMD); PL 1995, c. 65, Pt. A, §153 (AFF); PL 1995, c. 65, Pt. C, §15 (AFF).]</w:t>
      </w:r>
    </w:p>
    <w:p>
      <w:pPr>
        <w:jc w:val="both"/>
        <w:spacing w:before="100" w:after="0"/>
        <w:ind w:start="360"/>
        <w:ind w:firstLine="360"/>
      </w:pPr>
      <w:r>
        <w:rPr>
          <w:b/>
        </w:rPr>
        <w:t>2</w:t>
        <w:t xml:space="preserve">.  </w:t>
      </w:r>
      <w:r>
        <w:rPr>
          <w:b/>
        </w:rPr>
        <w:t xml:space="preserve">Surrender and return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§28 (RP).]</w:t>
      </w:r>
    </w:p>
    <w:p>
      <w:pPr>
        <w:jc w:val="both"/>
        <w:spacing w:before="100" w:after="0"/>
        <w:ind w:start="360"/>
        <w:ind w:firstLine="360"/>
      </w:pPr>
      <w:r>
        <w:rPr>
          <w:b/>
        </w:rPr>
        <w:t>3</w:t>
        <w:t xml:space="preserve">.  </w:t>
      </w:r>
      <w:r>
        <w:rPr>
          <w:b/>
        </w:rPr>
        <w:t xml:space="preserve">Removal of suspension.</w:t>
        <w:t xml:space="preserve"> </w:t>
      </w:r>
      <w:r>
        <w:t xml:space="preserve"> </w:t>
      </w:r>
      <w:r>
        <w:t xml:space="preserve">If it is determined after hearing that there was not the requisite probable cause for the required elements of the offense, the Secretary of State shall immediately remove the suspension and delete any record of the suspension and the offense from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Collateral effect.</w:t>
        <w:t xml:space="preserve"> </w:t>
      </w:r>
      <w:r>
        <w:t xml:space="preserve"> </w:t>
      </w:r>
      <w:r>
        <w:t xml:space="preserve">The determination of facts by the Secretary of State is independent of the determination of the same or similar facts in an adjudication of civil or criminal charges arising out of the same occurrence.  The disposition of those charges may not affect a suspension ordered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Appeal; judicial review.</w:t>
        <w:t xml:space="preserve"> </w:t>
      </w:r>
      <w:r>
        <w:t xml:space="preserve"> </w:t>
      </w:r>
      <w:r>
        <w:t xml:space="preserve">The person whose license is suspended or other party may, within 30 days after receipt of the decision, appeal to the Superior Court as provided in </w:t>
      </w:r>
      <w:r>
        <w:t>Title 5, sections 11001</w:t>
      </w:r>
      <w:r>
        <w:t xml:space="preserve"> to </w:t>
      </w:r>
      <w:r>
        <w:t>11008</w:t>
      </w:r>
      <w:r>
        <w:t xml:space="preserve">.  If the court rescinds the suspension, it shall also order the Secretary of State to delete any record of the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§122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§§A120-122 (AMD). PL 1995, c. 65, §§A153,C15 (AFF). PL 2025, c. 173,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§2485. Decision;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§2485. Decision;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§2485. DECISION;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