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604</w:t>
        <w:t xml:space="preserve">.  </w:t>
      </w:r>
      <w:r>
        <w:rPr>
          <w:b/>
        </w:rPr>
        <w:t xml:space="preserve">Sample collection for testing</w:t>
      </w:r>
    </w:p>
    <w:p>
      <w:pPr>
        <w:jc w:val="both"/>
        <w:spacing w:before="100" w:after="100"/>
        <w:ind w:start="360"/>
        <w:ind w:firstLine="360"/>
      </w:pPr>
      <w:r>
        <w:rPr/>
      </w:r>
      <w:r>
        <w:rPr/>
      </w:r>
      <w:r>
        <w:t xml:space="preserve">Except as provided in </w:t>
      </w:r>
      <w:r>
        <w:t>section 604‑A</w:t>
      </w:r>
      <w:r>
        <w:t xml:space="preserve">, if a test to be performed by a testing facility is a mandatory test under </w:t>
      </w:r>
      <w:r>
        <w:t>section 602</w:t>
      </w:r>
      <w:r>
        <w:t xml:space="preserve">, an employee or designee of the testing facility or a sample collector must collect the sample required for the test.  If a test to be performed by a testing facility is not a mandatory test, the owner of the cannabis or cannabis product, or a designee of the owner, may collect the sample required for the test.</w:t>
      </w:r>
      <w:r>
        <w:t xml:space="preserve">  </w:t>
      </w:r>
      <w:r xmlns:wp="http://schemas.openxmlformats.org/drawingml/2010/wordprocessingDrawing" xmlns:w15="http://schemas.microsoft.com/office/word/2012/wordml">
        <w:rPr>
          <w:rFonts w:ascii="Arial" w:hAnsi="Arial" w:cs="Arial"/>
          <w:sz w:val="22"/>
          <w:szCs w:val="22"/>
        </w:rPr>
        <w:t xml:space="preserve">[PL 2019, c. 676, §14 (AMD);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676, §14 (AMD). PL 2021, c. 669,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§604. Sample collection for testing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§604. Sample collection for testing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§604. SAMPLE COLLECTION FOR TESTING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