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w:t>
        <w:t xml:space="preserve">.  </w:t>
      </w:r>
      <w:r>
        <w:rPr>
          <w:b/>
        </w:rPr>
        <w:t xml:space="preserve">Entrances from premises</w:t>
      </w:r>
    </w:p>
    <w:p>
      <w:pPr>
        <w:jc w:val="both"/>
        <w:spacing w:before="100" w:after="100"/>
        <w:ind w:start="360"/>
        <w:ind w:firstLine="360"/>
      </w:pPr>
      <w:r>
        <w:rPr/>
      </w:r>
      <w:r>
        <w:rPr/>
      </w:r>
      <w:r>
        <w:t xml:space="preserve">The bureau may grant written permission to a licensee to maintain entrances, doorways or other apertures leading directly from the licensed premises.</w:t>
      </w:r>
      <w:r>
        <w:t xml:space="preserve">  </w:t>
      </w:r>
      <w:r xmlns:wp="http://schemas.openxmlformats.org/drawingml/2010/wordprocessingDrawing" xmlns:w15="http://schemas.microsoft.com/office/word/2012/wordml">
        <w:rPr>
          <w:rFonts w:ascii="Arial" w:hAnsi="Arial" w:cs="Arial"/>
          <w:sz w:val="22"/>
          <w:szCs w:val="22"/>
        </w:rPr>
        <w:t xml:space="preserve">[PL 1997, c. 373, §24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1997, c. 373, §24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 Entrances from premises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 Entrances from premises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§8. ENTRANCES FROM PREMISES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