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2228</w:t>
        <w:t xml:space="preserve">.  </w:t>
      </w:r>
      <w:r>
        <w:rPr>
          <w:b/>
        </w:rPr>
        <w:t xml:space="preserve">Recovery of liquor and damages upon final judgment</w:t>
      </w:r>
    </w:p>
    <w:p>
      <w:pPr>
        <w:jc w:val="both"/>
        <w:spacing w:before="100" w:after="100"/>
        <w:ind w:start="360"/>
        <w:ind w:firstLine="360"/>
      </w:pPr>
      <w:r>
        <w:rPr/>
      </w:r>
      <w:r>
        <w:rPr/>
      </w:r>
      <w:r>
        <w:t xml:space="preserve">Final judgment in proceedings under this chapter shall be in all cases a bar to any civil action for the recovery of any liquors seized or of their value, or for damages alleged to have been sustained by reason of the seizure and detention.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§2228. Recovery of liquor and damages upon final judgment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§2228. Recovery of liquor and damages upon final judgment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§2228. RECOVERY OF LIQUOR AND DAMAGES UPON FINAL JUDGMENT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