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2885</w:t>
        <w:t xml:space="preserve">.  </w:t>
      </w:r>
      <w:r>
        <w:rPr>
          <w:b/>
        </w:rPr>
        <w:t xml:space="preserve">Filing of group manual rates for informational purposes</w:t>
      </w:r>
    </w:p>
    <w:p>
      <w:pPr>
        <w:jc w:val="both"/>
        <w:spacing w:before="100" w:after="100"/>
        <w:ind w:start="360"/>
        <w:ind w:firstLine="360"/>
      </w:pPr>
      <w:r>
        <w:rPr/>
      </w:r>
      <w:r>
        <w:rPr/>
      </w:r>
      <w:r>
        <w:t xml:space="preserve">No policy of group legal services insurance may be delivered in this State until a copy of the group manual rates to be used in calculating the premium for these policies has been filed for informational purposes with the superintendent.</w:t>
      </w:r>
      <w:r>
        <w:t xml:space="preserve">  </w:t>
      </w:r>
      <w:r xmlns:wp="http://schemas.openxmlformats.org/drawingml/2010/wordprocessingDrawing" xmlns:w15="http://schemas.microsoft.com/office/word/2012/wordml">
        <w:rPr>
          <w:rFonts w:ascii="Arial" w:hAnsi="Arial" w:cs="Arial"/>
          <w:sz w:val="22"/>
          <w:szCs w:val="22"/>
        </w:rPr>
        <w:t xml:space="preserve">[PL 1983, c. 801,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801,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§2885. Filing of group manual rates for informational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§2885. Filing of group manual rates for informational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§2885. FILING OF GROUP MANUAL RATES FOR INFORMATIONAL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