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2555</w:t>
        <w:t xml:space="preserve">.  </w:t>
      </w:r>
      <w:r>
        <w:rPr>
          <w:b/>
        </w:rPr>
        <w:t xml:space="preserve">Inclusion of nursing home benefits in life insurance policies</w:t>
      </w:r>
    </w:p>
    <w:p>
      <w:pPr>
        <w:jc w:val="both"/>
        <w:spacing w:before="100" w:after="0"/>
        <w:ind w:start="360"/>
        <w:ind w:firstLine="360"/>
      </w:pPr>
      <w:r>
        <w:rPr>
          <w:b/>
        </w:rPr>
        <w:t>1</w:t>
        <w:t xml:space="preserve">.  </w:t>
      </w:r>
      <w:r>
        <w:rPr>
          <w:b/>
        </w:rPr>
      </w:r>
      <w:r>
        <w:t xml:space="preserve"> </w:t>
      </w:r>
      <w:r>
        <w:t xml:space="preserve">In order to offer a life insurance policy providing for acceleration of life insurance or annuity benefits in advance of the time the benefits would otherwise be payable because of confinement to a nursing home or long-term care facility, receipt of home health care or hospice care benefits, diagnosis of terminal illness or for substantially similar reasons, the insurer must have a certificate of authority to transact life or life and health insurance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 (NEW).]</w:t>
      </w:r>
    </w:p>
    <w:p>
      <w:pPr>
        <w:jc w:val="both"/>
        <w:spacing w:before="100" w:after="0"/>
        <w:ind w:start="360"/>
        <w:ind w:firstLine="360"/>
      </w:pPr>
      <w:r>
        <w:rPr>
          <w:b/>
        </w:rPr>
        <w:t>2</w:t>
        <w:t xml:space="preserve">.  </w:t>
      </w:r>
      <w:r>
        <w:rPr>
          <w:b/>
        </w:rPr>
      </w:r>
      <w:r>
        <w:t xml:space="preserve"> </w:t>
      </w:r>
      <w:r>
        <w:t xml:space="preserve">The superintendent shall promulgate reasonable rules, in accordance with the Maine Administrative Procedure Act, </w:t>
      </w:r>
      <w:r>
        <w:t>Title 5, chapter 375</w:t>
      </w:r>
      <w:r>
        <w:t xml:space="preserve">, to provide for the full and fair disclosure of information in connection with the sale of the policies referred to in </w:t>
      </w:r>
      <w:r>
        <w:t>subsection 1</w:t>
      </w:r>
      <w:r>
        <w:t xml:space="preserve">, and may include, but are not limited to, definitions, acceptable restrictions on benefit payments, coverage periods and nonforfeiture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§2555. Inclusion of nursing home benefits in life insurance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§2555. Inclusion of nursing home benefits in life insurance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§2555. INCLUSION OF NURSING HOME BENEFITS IN LIFE INSURANCE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