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7706</w:t>
        <w:t xml:space="preserve">.  </w:t>
      </w:r>
      <w:r>
        <w:rPr>
          <w:b/>
        </w:rPr>
        <w:t xml:space="preserve">Criminal background checks</w:t>
      </w:r>
    </w:p>
    <w:p>
      <w:pPr>
        <w:jc w:val="both"/>
        <w:spacing w:before="100" w:after="100"/>
        <w:ind w:start="360"/>
      </w:pPr>
      <w:r>
        <w:rPr>
          <w:b/>
        </w:rPr>
        <w:t>(REALLOCATED FROM TITLE 22, SECTION 7704)</w:t>
      </w:r>
    </w:p>
    <w:p>
      <w:pPr>
        <w:jc w:val="both"/>
        <w:spacing w:before="100" w:after="100"/>
        <w:ind w:start="360"/>
        <w:ind w:firstLine="360"/>
      </w:pPr>
      <w:r>
        <w:rPr/>
      </w:r>
      <w:r>
        <w:rPr/>
      </w:r>
      <w:r>
        <w:t xml:space="preserve">Beginning October 1, 2010, a facility or health care provider subject to the licensing or certification processes of </w:t>
      </w:r>
      <w:r>
        <w:t>chapter 1663</w:t>
      </w:r>
      <w:r>
        <w:t xml:space="preserve">, a nursery school subject to </w:t>
      </w:r>
      <w:r>
        <w:t>chapter 1675</w:t>
      </w:r>
      <w:r>
        <w:t xml:space="preserve"> or a hospice provider subject to </w:t>
      </w:r>
      <w:r>
        <w:t>chapter 1681</w:t>
      </w:r>
      <w:r>
        <w:t xml:space="preserve">, prior to hiring an individual who will work in direct contact with a consumer, or who has direct access to a consumer's property, personally identifiable information, financial information or resources, shall obtain a comprehensive background check in accordance with applicable federal and state laws.  The comprehensive background check must include, at a minimum, criminal history record information from the Department of Public Safety, State Bureau of Identification.  The entity seeking to employ the individual shall pay for the criminal background check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2015, c. 196, §13 (AMD); PL 2015, c. 299, §21 (AMD).]</w:t>
      </w:r>
    </w:p>
    <w:p>
      <w:pPr>
        <w:jc w:val="both"/>
        <w:spacing w:before="100" w:after="100"/>
        <w:ind w:start="360"/>
        <w:ind w:firstLine="360"/>
      </w:pPr>
      <w:r>
        <w:rPr/>
      </w:r>
      <w:r>
        <w:rPr/>
      </w:r>
      <w:r>
        <w:t xml:space="preserve">The department may adopt rules necessary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2009, c. 2, §61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§61 (RAL). PL 2015, c. 196, §13 (AMD). PL 2015, c. 299,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§7706. Criminal background checks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§7706. Criminal background checks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§7706. CRIMINAL BACKGROUND CHECKS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