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5312</w:t>
        <w:t xml:space="preserve">.  </w:t>
      </w:r>
      <w:r>
        <w:rPr>
          <w:b/>
        </w:rPr>
        <w:t xml:space="preserve">Head Start</w:t>
      </w:r>
    </w:p>
    <w:p>
      <w:pPr>
        <w:jc w:val="both"/>
        <w:spacing w:before="100" w:after="100"/>
        <w:ind w:start="360"/>
        <w:ind w:firstLine="360"/>
      </w:pPr>
      <w:r>
        <w:rPr/>
      </w:r>
      <w:r>
        <w:rPr/>
      </w:r>
      <w:r>
        <w:t xml:space="preserve">The Head Start program is administered by the Division of Purchased and Support Services.</w:t>
      </w:r>
      <w:r>
        <w:t xml:space="preserve">  </w:t>
      </w:r>
      <w:r xmlns:wp="http://schemas.openxmlformats.org/drawingml/2010/wordprocessingDrawing" xmlns:w15="http://schemas.microsoft.com/office/word/2012/wordml">
        <w:rPr>
          <w:rFonts w:ascii="Arial" w:hAnsi="Arial" w:cs="Arial"/>
          <w:sz w:val="22"/>
          <w:szCs w:val="22"/>
        </w:rPr>
        <w:t xml:space="preserve">[PL 1995, c. 502, Pt. D,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§DDD13 (NEW). PL 1995, c. 502, §D10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§5312. Head Start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§5312. Head Start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§5312. HEAD START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