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3174-DDD</w:t>
        <w:t xml:space="preserve">.  </w:t>
      </w:r>
      <w:r>
        <w:rPr>
          <w:b/>
        </w:rPr>
        <w:t xml:space="preserve">Coverage for conversion therapy</w:t>
      </w:r>
    </w:p>
    <w:p>
      <w:pPr>
        <w:jc w:val="both"/>
        <w:spacing w:before="100" w:after="100"/>
        <w:ind w:start="360"/>
      </w:pPr>
      <w:r>
        <w:rPr>
          <w:b/>
        </w:rPr>
        <w:t>(REALLOCATED FROM TITLE 22, SECTION 3174-BBB)</w:t>
      </w:r>
    </w:p>
    <w:p>
      <w:pPr>
        <w:jc w:val="both"/>
        <w:spacing w:before="100" w:after="100"/>
        <w:ind w:start="360"/>
        <w:ind w:firstLine="360"/>
      </w:pPr>
      <w:r>
        <w:rPr/>
      </w:r>
      <w:r>
        <w:rPr/>
      </w:r>
      <w:r>
        <w:t xml:space="preserve">The department may not provide MaineCare reimbursement for conversion therapy as defined in </w:t>
      </w:r>
      <w:r>
        <w:t>Title 32, section 59‑C, subsection 1</w:t>
      </w:r>
      <w:r>
        <w:t xml:space="preserve"> administered to a minor.</w:t>
      </w:r>
      <w:r>
        <w:t xml:space="preserve">  </w:t>
      </w:r>
      <w:r xmlns:wp="http://schemas.openxmlformats.org/drawingml/2010/wordprocessingDrawing" xmlns:w15="http://schemas.microsoft.com/office/word/2012/wordml">
        <w:rPr>
          <w:rFonts w:ascii="Arial" w:hAnsi="Arial" w:cs="Arial"/>
          <w:sz w:val="22"/>
          <w:szCs w:val="22"/>
        </w:rPr>
        <w:t xml:space="preserve">[PL 2019, c. 165, §3 (NEW); RR 2019, c. 1, Pt. A, §25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165, §3 (NEW). RR 2019, c. 1, Pt. A, §25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§3174-DDD. Coverage for conversion therapy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§3174-DDD. Coverage for conversion therapy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§3174-DDD. COVERAGE FOR CONVERSION THERAPY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