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w:t>
        <w:t xml:space="preserve">.  </w:t>
      </w:r>
      <w:r>
        <w:rPr>
          <w:b/>
        </w:rPr>
        <w:t xml:space="preserve">Maine Health Access Fund</w:t>
      </w:r>
    </w:p>
    <w:p>
      <w:pPr>
        <w:jc w:val="both"/>
        <w:spacing w:before="100" w:after="100"/>
        <w:ind w:start="360"/>
        <w:ind w:firstLine="360"/>
      </w:pPr>
      <w:r>
        <w:rPr/>
      </w:r>
      <w:r>
        <w:rPr/>
      </w:r>
      <w:r>
        <w:t xml:space="preserve">There is established the Maine Health Access Fund, referred to in this section as the "fund," as a dedicated fund to provide expanded access to health care.</w:t>
      </w:r>
      <w:r>
        <w:t xml:space="preserve">  </w:t>
      </w:r>
      <w:r xmlns:wp="http://schemas.openxmlformats.org/drawingml/2010/wordprocessingDrawing" xmlns:w15="http://schemas.microsoft.com/office/word/2012/wordml">
        <w:rPr>
          <w:rFonts w:ascii="Arial" w:hAnsi="Arial" w:cs="Arial"/>
          <w:sz w:val="22"/>
          <w:szCs w:val="22"/>
        </w:rPr>
        <w:t xml:space="preserve">[PL 2001, c. 450, Pt. E, §1 (NEW).]</w:t>
      </w:r>
    </w:p>
    <w:p>
      <w:pPr>
        <w:jc w:val="both"/>
        <w:spacing w:before="100" w:after="0"/>
        <w:ind w:start="360"/>
        <w:ind w:firstLine="360"/>
      </w:pPr>
      <w:r>
        <w:rPr>
          <w:b/>
        </w:rPr>
        <w:t>1</w:t>
        <w:t xml:space="preserve">.  </w:t>
      </w:r>
      <w:r>
        <w:rPr>
          <w:b/>
        </w:rPr>
        <w:t xml:space="preserve">Transfers to fund.</w:t>
        <w:t xml:space="preserve"> </w:t>
      </w:r>
      <w:r>
        <w:t xml:space="preserve"> </w:t>
      </w:r>
      <w:r>
        <w:t xml:space="preserve">The State Controller shall transfer to the fund such money as authorized by law.  The fund may also receive funds from other sources that are designated for the fund.  Interest earned on fund balances and investment income on balances in the fund accrue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450, Pt. E, §1 (NEW).]</w:t>
      </w:r>
    </w:p>
    <w:p>
      <w:pPr>
        <w:jc w:val="both"/>
        <w:spacing w:before="100" w:after="0"/>
        <w:ind w:start="360"/>
        <w:ind w:firstLine="360"/>
      </w:pPr>
      <w:r>
        <w:rPr>
          <w:b/>
        </w:rPr>
        <w:t>2</w:t>
        <w:t xml:space="preserve">.  </w:t>
      </w:r>
      <w:r>
        <w:rPr>
          <w:b/>
        </w:rPr>
        <w:t xml:space="preserve">Nonlapsing.</w:t>
        <w:t xml:space="preserve"> </w:t>
      </w:r>
      <w:r>
        <w:t xml:space="preserve"> </w:t>
      </w:r>
      <w:r>
        <w:t xml:space="preserve">Any unexpended balances in the fund may not lapse but must be carried forward.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450, Pt. E, §1 (NEW).]</w:t>
      </w:r>
    </w:p>
    <w:p>
      <w:pPr>
        <w:jc w:val="both"/>
        <w:spacing w:before="100" w:after="0"/>
        <w:ind w:start="360"/>
        <w:ind w:firstLine="360"/>
      </w:pPr>
      <w:r>
        <w:rPr>
          <w:b/>
        </w:rPr>
        <w:t>3</w:t>
        <w:t xml:space="preserve">.  </w:t>
      </w:r>
      <w:r>
        <w:rPr>
          <w:b/>
        </w:rPr>
        <w:t xml:space="preserve">Restriction.</w:t>
        <w:t xml:space="preserve"> </w:t>
      </w:r>
      <w:r>
        <w:t xml:space="preserve"> </w:t>
      </w:r>
      <w:r>
        <w:t xml:space="preserve">Allocations from the fund must be used to supplement and not supplant appropriations from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450,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450, §E1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 Maine Health Access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 Maine Health Access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§260. MAINE HEALTH ACCESS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