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License</w:t>
      </w:r>
    </w:p>
    <w:p>
      <w:pPr>
        <w:jc w:val="both"/>
        <w:spacing w:before="100" w:after="100"/>
        <w:ind w:start="360"/>
        <w:ind w:firstLine="360"/>
      </w:pPr>
      <w:r>
        <w:rPr/>
      </w:r>
      <w:r>
        <w:rPr/>
      </w:r>
      <w:r>
        <w:t xml:space="preserve">The department shall issue a medical laboratory license to any medical laboratory which has applied for said license on forms provided by the department and which is found to be in compliance with this Act.</w:t>
      </w:r>
      <w:r>
        <w:t xml:space="preserve">  </w:t>
      </w:r>
      <w:r xmlns:wp="http://schemas.openxmlformats.org/drawingml/2010/wordprocessingDrawing" xmlns:w15="http://schemas.microsoft.com/office/word/2012/wordml">
        <w:rPr>
          <w:rFonts w:ascii="Arial" w:hAnsi="Arial" w:cs="Arial"/>
          <w:sz w:val="22"/>
          <w:szCs w:val="22"/>
        </w:rPr>
        <w:t xml:space="preserve">[PL 1993, c. 600, Pt. B, §6 (AMD).]</w:t>
      </w:r>
    </w:p>
    <w:p>
      <w:pPr>
        <w:jc w:val="both"/>
        <w:spacing w:before="100" w:after="100"/>
        <w:ind w:start="360"/>
        <w:ind w:firstLine="360"/>
      </w:pPr>
      <w:r>
        <w:rPr/>
      </w:r>
      <w:r>
        <w:rPr/>
      </w:r>
      <w:r>
        <w:t xml:space="preserve">No medical laboratory licensed under this Act shall send specimens to any laboratory within the State unless such laboratory is in compliance with this Act. When the specimen has been referred for examination to an out-of-state laboratory, the report shall bear or be accompanied by a clear statement that such findings were obtained in such other laboratory, which shall be identified.</w:t>
      </w:r>
      <w:r>
        <w:t xml:space="preserve">  </w:t>
      </w:r>
      <w:r xmlns:wp="http://schemas.openxmlformats.org/drawingml/2010/wordprocessingDrawing" xmlns:w15="http://schemas.microsoft.com/office/word/2012/wordml">
        <w:rPr>
          <w:rFonts w:ascii="Arial" w:hAnsi="Arial" w:cs="Arial"/>
          <w:sz w:val="22"/>
          <w:szCs w:val="22"/>
        </w:rPr>
        <w:t xml:space="preserve">[PL 1975, c. 218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PL 1993, c. 600, §B6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§2015.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