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No impairment to civil damages; local ordinances</w:t>
      </w:r>
    </w:p>
    <w:p>
      <w:pPr>
        <w:jc w:val="both"/>
        <w:spacing w:before="100" w:after="100"/>
        <w:ind w:start="360"/>
        <w:ind w:firstLine="360"/>
      </w:pPr>
      <w:r>
        <w:rPr/>
      </w:r>
      <w:r>
        <w:rPr/>
      </w:r>
      <w:r>
        <w:t xml:space="preserve">Nothing in this chapter shall be interpreted or applied in any manner to defeat or impair the right of any person, entity, municipality or other political subdivision to maintain an action or suit for damages sustained or equitable relief or for violation of an ordinance by reason of or in connection with any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1973, c. 367 (NEW).]</w:t>
      </w:r>
    </w:p>
    <w:p>
      <w:pPr>
        <w:jc w:val="both"/>
        <w:spacing w:before="100" w:after="100"/>
        <w:ind w:start="360"/>
        <w:ind w:firstLine="360"/>
      </w:pPr>
      <w:r>
        <w:rPr/>
      </w:r>
      <w:r>
        <w:rPr/>
      </w:r>
      <w:r>
        <w:t xml:space="preserve">This chapter shall not prevent any municipality or other political subdivision from enacting any enforcing ordinances which establish a system of lead poisoning control that provide the same or higher standards than those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1973, c. 367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§1324. No impairment to civil damages; local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No impairment to civil damages; local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§1324. NO IMPAIRMENT TO CIVIL DAMAGES; LOCAL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