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w:t>
        <w:t xml:space="preserve">.  </w:t>
      </w:r>
      <w:r>
        <w:rPr>
          <w:b/>
        </w:rPr>
        <w:t xml:space="preserve">Posting unofficial results</w:t>
      </w:r>
    </w:p>
    <w:p>
      <w:pPr>
        <w:jc w:val="both"/>
        <w:spacing w:before="100" w:after="100"/>
        <w:ind w:start="360"/>
        <w:ind w:firstLine="360"/>
      </w:pPr>
      <w:r>
        <w:rPr/>
      </w:r>
      <w:r>
        <w:rPr/>
      </w:r>
      <w:r>
        <w:t xml:space="preserve">As soon as practicable after the election return is prepared under </w:t>
      </w:r>
      <w:r>
        <w:t>section 711</w:t>
      </w:r>
      <w:r>
        <w:t xml:space="preserve">, if a secure place is available at the voting place or municipal office where the public may view a paper copy of the unofficial election results even when the voting place or municipal office is closed, an election official shall post a paper copy of the unofficial results of the election.  For elections determined by ranked‑choice voting, an election official shall post a paper copy of the results of the first choice votes cast.</w:t>
      </w:r>
      <w:r>
        <w:t xml:space="preserve">  </w:t>
      </w:r>
      <w:r xmlns:wp="http://schemas.openxmlformats.org/drawingml/2010/wordprocessingDrawing" xmlns:w15="http://schemas.microsoft.com/office/word/2012/wordml">
        <w:rPr>
          <w:rFonts w:ascii="Arial" w:hAnsi="Arial" w:cs="Arial"/>
          <w:sz w:val="22"/>
          <w:szCs w:val="22"/>
        </w:rPr>
        <w:t xml:space="preserve">[PL 2019, c. 320,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146, §1 (NEW). PL 2019, c. 320,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§700. Posting unofficial results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 Posting unofficial results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§700. POSTING UNOFFICIAL RESULTS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