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4725</w:t>
        <w:t xml:space="preserve">.  </w:t>
      </w:r>
      <w:r>
        <w:rPr>
          <w:b/>
        </w:rPr>
        <w:t xml:space="preserve">Career and technical instruction</w:t>
      </w:r>
    </w:p>
    <w:p>
      <w:pPr>
        <w:jc w:val="both"/>
        <w:spacing w:before="100" w:after="100"/>
        <w:ind w:start="360"/>
        <w:ind w:firstLine="360"/>
      </w:pPr>
      <w:r>
        <w:rPr/>
      </w:r>
      <w:r>
        <w:rPr/>
      </w:r>
      <w:r>
        <w:t xml:space="preserve">Each school administrative unit operating a secondary school shall provide career and technical instruction through a career and technical education center or region in accordance with </w:t>
      </w:r>
      <w:r>
        <w:t>chapter 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1991, c. 2, §59 (COR); PL 2003, c. 545, §§5,6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RR 1991, c. 2, §59 (COR). PL 2003, c. 545, §§5,6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§4725. Career and technical instruction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§4725. Career and technical instruction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§4725. CAREER AND TECHNICAL INSTRUCTION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