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3621</w:t>
        <w:t xml:space="preserve">.  </w:t>
      </w:r>
      <w:r>
        <w:rPr>
          <w:b/>
        </w:rPr>
        <w:t xml:space="preserve">Special meetings</w:t>
      </w:r>
    </w:p>
    <w:p>
      <w:pPr>
        <w:jc w:val="both"/>
        <w:spacing w:before="100" w:after="100"/>
        <w:ind w:start="360"/>
        <w:ind w:firstLine="360"/>
      </w:pPr>
      <w:r>
        <w:rPr/>
      </w:r>
      <w:r>
        <w:rPr/>
      </w:r>
      <w:r>
        <w:t xml:space="preserve">A special meeting of the district shall be held whenever, in the opinion of the directors, there is occasion therefor, or whenever written application shall have been made by 5% or more of the voters based on the checklists as prepared for the last preceding meeting, setting forth the subject matter upon which such action is desired.  A special meeting may appropriate money without compliance with RSA 338 or RSA 197.3 which would otherwise require the approval of the New Hampshire Superior Court.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§3621. Special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§3621. Special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§3621. SPECIAL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