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2307</w:t>
        <w:t xml:space="preserve">.  </w:t>
      </w:r>
      <w:r>
        <w:rPr>
          <w:b/>
        </w:rPr>
        <w:t xml:space="preserve">School budgets</w:t>
      </w:r>
    </w:p>
    <w:p>
      <w:pPr>
        <w:jc w:val="both"/>
        <w:spacing w:before="100" w:after="100"/>
        <w:ind w:start="360"/>
        <w:ind w:firstLine="360"/>
      </w:pPr>
      <w:r>
        <w:rPr/>
      </w:r>
      <w:r>
        <w:rPr/>
      </w:r>
      <w:r>
        <w:t xml:space="preserve">Notwithstanding any other law, municipal school budgets developed after January 1, 2008 must follow the same school budget requirements as regional school units pursuant to </w:t>
      </w:r>
      <w:r>
        <w:t>chapter 103‑A</w:t>
      </w:r>
      <w:r>
        <w:t xml:space="preserve">, except as described in </w:t>
      </w:r>
      <w:r>
        <w:t>subsections 1</w:t>
      </w:r>
      <w:r>
        <w:t xml:space="preserve"> and </w:t>
      </w:r>
      <w:r>
        <w:t>2</w:t>
      </w:r>
      <w:r>
        <w:t xml:space="preserve">.  A municipal school unit is deemed to be a regional school unit solely for the purpose of developing a budget pursuant to </w:t>
      </w:r>
      <w:r>
        <w:t>chapter 103‑A</w:t>
      </w:r>
      <w:r>
        <w:t xml:space="preserve">.  A municipality has the same authority to commit property taxes as provided in </w:t>
      </w:r>
      <w:r>
        <w:t>section 1487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655, Pt. E, §1 (AMD).]</w:t>
      </w:r>
    </w:p>
    <w:p>
      <w:pPr>
        <w:jc w:val="both"/>
        <w:spacing w:before="100" w:after="0"/>
        <w:ind w:start="360"/>
        <w:ind w:firstLine="360"/>
      </w:pPr>
      <w:r>
        <w:rPr>
          <w:b/>
        </w:rPr>
        <w:t>1</w:t>
        <w:t xml:space="preserve">.  </w:t>
      </w:r>
      <w:r>
        <w:rPr>
          <w:b/>
        </w:rPr>
        <w:t xml:space="preserve">Budget meeting.</w:t>
        <w:t xml:space="preserve"> </w:t>
      </w:r>
      <w:r>
        <w:t xml:space="preserve"> </w:t>
      </w:r>
      <w:r>
        <w:t xml:space="preserve">In charter municipalities the budget meeting required by </w:t>
      </w:r>
      <w:r>
        <w:t>section 1485, subsection 3</w:t>
      </w:r>
      <w:r>
        <w:t xml:space="preserve"> must be a meeting of the municipal council or other municipal legislative body established by the charter with authority to approve the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§28 (NEW); PL 2007, c. 668, §55 (AFF).]</w:t>
      </w:r>
    </w:p>
    <w:p>
      <w:pPr>
        <w:jc w:val="both"/>
        <w:spacing w:before="100" w:after="0"/>
        <w:ind w:start="360"/>
        <w:ind w:firstLine="360"/>
      </w:pPr>
      <w:r>
        <w:rPr>
          <w:b/>
        </w:rPr>
        <w:t>2</w:t>
        <w:t xml:space="preserve">.  </w:t>
      </w:r>
      <w:r>
        <w:rPr>
          <w:b/>
        </w:rPr>
        <w:t xml:space="preserve">Municipal charter.</w:t>
        <w:t xml:space="preserve"> </w:t>
      </w:r>
      <w:r>
        <w:t xml:space="preserve"> </w:t>
      </w:r>
      <w:r>
        <w:t xml:space="preserve">In charter municipalities where the municipal charter confers upon a municipal council or other municipal legislative body the authority to determine the total amount of the school budget and confers upon the school committee or school board the authority to direct the expenditure of those funds for school purposes, the municipal council or other municipal legislative body shall determine the total amount of the school budget to be submitted to a budget validation referendum and the school committee or school board shall determine the allocation of the approved school budget among the cost centers of the cost center summary budget format.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§28 (NEW); PL 2007, c. 668,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§21 (NEW). PL 2007, c. 668, §28 (AMD). PL 2007, c. 668, §55 (AFF). PL 2011, c. 655, Pt. E,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§2307. School budgets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§2307. School budgets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§2307. SCHOOL BUDGETS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