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12703</w:t>
        <w:t xml:space="preserve">.  </w:t>
      </w:r>
      <w:r>
        <w:rPr>
          <w:b/>
        </w:rPr>
        <w:t xml:space="preserve">Mission and goals</w:t>
      </w:r>
    </w:p>
    <w:p>
      <w:pPr>
        <w:jc w:val="both"/>
        <w:spacing w:before="100" w:after="100"/>
        <w:ind w:start="360"/>
        <w:ind w:firstLine="360"/>
      </w:pPr>
      <w:r>
        <w:rPr/>
      </w:r>
      <w:r>
        <w:rPr/>
      </w:r>
      <w:r>
        <w:t xml:space="preserve">The basic mission of the Maine Community College System is to provide associate degree, diploma and certificate programs directed at the educational, career and technical needs of the State's citizens and the workforce needs of the State's employers.</w:t>
      </w:r>
      <w:r>
        <w:t xml:space="preserve">  </w:t>
      </w:r>
      <w:r xmlns:wp="http://schemas.openxmlformats.org/drawingml/2010/wordprocessingDrawing" xmlns:w15="http://schemas.microsoft.com/office/word/2012/wordml">
        <w:rPr>
          <w:rFonts w:ascii="Arial" w:hAnsi="Arial" w:cs="Arial"/>
          <w:sz w:val="22"/>
          <w:szCs w:val="22"/>
        </w:rPr>
        <w:t xml:space="preserve">[PL 2011, c. 679, §23 (AMD).]</w:t>
      </w:r>
    </w:p>
    <w:p>
      <w:pPr>
        <w:jc w:val="both"/>
        <w:spacing w:before="100" w:after="100"/>
        <w:ind w:start="360"/>
        <w:ind w:firstLine="360"/>
      </w:pPr>
      <w:r>
        <w:rPr/>
      </w:r>
      <w:r>
        <w:rPr/>
      </w:r>
      <w:r>
        <w:t xml:space="preserve">The primary goals of postsecondary career and technical education and the Maine Community College System are to create an educated, skilled and adaptable labor force that is responsive to the changing needs of the economy of the State and to promote local, regional and statewide economic development.</w:t>
      </w:r>
      <w:r>
        <w:t xml:space="preserve">  </w:t>
      </w:r>
      <w:r xmlns:wp="http://schemas.openxmlformats.org/drawingml/2010/wordprocessingDrawing" xmlns:w15="http://schemas.microsoft.com/office/word/2012/wordml">
        <w:rPr>
          <w:rFonts w:ascii="Arial" w:hAnsi="Arial" w:cs="Arial"/>
          <w:sz w:val="22"/>
          <w:szCs w:val="22"/>
        </w:rPr>
        <w:t xml:space="preserve">[PL 2011, c. 679,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695, §11 (NEW). PL 1989, c. 443, §35 (AMD). PL 2003, c. 20, §OO2 (AMD). PL 2003, c. 20, §OO4 (AFF). PL 2011, c. 679,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§12703. Mission and goals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§12703. Mission and goals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§12703. MISSION AND GOALS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