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Application of general law</w:t>
      </w:r>
    </w:p>
    <w:p>
      <w:pPr>
        <w:jc w:val="both"/>
        <w:spacing w:before="100" w:after="100"/>
        <w:ind w:start="360"/>
        <w:ind w:firstLine="360"/>
      </w:pPr>
      <w:r>
        <w:rPr/>
      </w:r>
      <w:r>
        <w:rPr/>
      </w:r>
      <w:r>
        <w:t xml:space="preserve">Schools operated by legally established school administrative districts shall be the official schools of the participating municipalities.  The provisions of general law relating to public education shall apply to these schools.  State funds for public schools shall be paid directly to the treasurer of the school administrative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Application of general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Application of general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§1206. APPLICATION OF GENERAL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