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650-A</w:t>
        <w:t xml:space="preserve">.  </w:t>
      </w:r>
      <w:r>
        <w:rPr>
          <w:b/>
        </w:rPr>
        <w:t xml:space="preserve">Codification of marriage</w:t>
      </w:r>
    </w:p>
    <w:p>
      <w:pPr>
        <w:jc w:val="both"/>
        <w:spacing w:before="100" w:after="100"/>
        <w:ind w:start="360"/>
        <w:ind w:firstLine="360"/>
      </w:pPr>
      <w:r>
        <w:rPr/>
      </w:r>
      <w:r>
        <w:rPr/>
      </w:r>
      <w:r>
        <w:t xml:space="preserve">Marriage is the legally recognized union of 2 people. Gender-specific terms relating to the marital relationship or familial relationships must be construed to be gender-neutral for all purposes throughout the law, whether in the context of statute, administrative or court rule, policy, common law or any other source of civil law.</w:t>
      </w:r>
      <w:r>
        <w:t xml:space="preserve">  </w:t>
      </w:r>
      <w:r xmlns:wp="http://schemas.openxmlformats.org/drawingml/2010/wordprocessingDrawing" xmlns:w15="http://schemas.microsoft.com/office/word/2012/wordml">
        <w:rPr>
          <w:rFonts w:ascii="Arial" w:hAnsi="Arial" w:cs="Arial"/>
          <w:sz w:val="22"/>
          <w:szCs w:val="22"/>
        </w:rPr>
        <w:t xml:space="preserve">[IB 2011, c. 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2011, c. 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§650-A. Codification of marriage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§650-A. Codification of marriage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§650-A. CODIFICATION OF MARRIAGE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