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2452</w:t>
        <w:t xml:space="preserve">.  </w:t>
      </w:r>
      <w:r>
        <w:rPr>
          <w:b/>
        </w:rPr>
        <w:t xml:space="preserve">Complaint and inquiry unit</w:t>
      </w:r>
    </w:p>
    <w:p>
      <w:pPr>
        <w:jc w:val="both"/>
        <w:spacing w:before="100" w:after="100"/>
        <w:ind w:start="360"/>
        <w:ind w:firstLine="360"/>
      </w:pPr>
      <w:r>
        <w:rPr/>
      </w:r>
      <w:r>
        <w:rPr/>
      </w:r>
      <w:r>
        <w:t xml:space="preserve">The department shall maintain a centralized system to receive and respond to complaints and inquiries from persons who are eligible for support enforcement services.  The department shall also use the system to identify and eliminate chronic problems within the department's support enforcement program.</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§2452. Complaint and inquiry unit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§2452. Complaint and inquiry unit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§2452. COMPLAINT AND INQUIRY UNIT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