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2353</w:t>
        <w:t xml:space="preserve">.  </w:t>
      </w:r>
      <w:r>
        <w:rPr>
          <w:b/>
        </w:rPr>
        <w:t xml:space="preserve">Expeditious procedure during stay</w:t>
      </w:r>
    </w:p>
    <w:p>
      <w:pPr>
        <w:jc w:val="both"/>
        <w:spacing w:before="100" w:after="100"/>
        <w:ind w:start="360"/>
        <w:ind w:firstLine="360"/>
      </w:pPr>
      <w:r>
        <w:rPr/>
      </w:r>
      <w:r>
        <w:rPr/>
      </w:r>
      <w:r>
        <w:t xml:space="preserve">When a responsible parent has requested a stay under </w:t>
      </w:r>
      <w:r>
        <w:t>section 2352, subsection 4</w:t>
      </w:r>
      <w:r>
        <w:t xml:space="preserve"> and that stay has been granted because the parent seeks relief in a court, the parent shall request, within 30 days of filing the papers with the court, that the court set the matter for hearing on the next available court date. If the responsible parent fails to make the request during that time, the department may remove the stay and proceed with the collection proceeding.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§2353. Expeditious procedure during stay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§2353. Expeditious procedure during stay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§2353. EXPEDITIOUS PROCEDURE DURING STAY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