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1556</w:t>
        <w:t xml:space="preserve">.  </w:t>
      </w:r>
      <w:r>
        <w:rPr>
          <w:b/>
        </w:rPr>
        <w:t xml:space="preserve">Remedies</w:t>
      </w:r>
    </w:p>
    <w:p>
      <w:pPr>
        <w:jc w:val="both"/>
        <w:spacing w:before="100" w:after="100"/>
        <w:ind w:start="360"/>
        <w:ind w:firstLine="360"/>
      </w:pPr>
      <w:r>
        <w:rPr/>
      </w:r>
      <w:r>
        <w:rPr/>
      </w:r>
      <w:r>
        <w:t xml:space="preserve">The District Court has jurisdiction for the enforcement of judgments for expenses of pregnancy and confinement for a wife or for education, support or funeral expenses for legitimate children and all remedies for the enforcement of these judgments apply.  The court has continuing jurisdiction to modify or revoke a judgment for future education and support.  All remedies under the Uniform Interstate Family Support Act are available for enforcement of duties of support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2015, c. 296, Pt. B, §4 (AMD);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1999, c. 704, §1 (AMD). PL 1999, c. 731, §ZZZ32 (AMD). PL 1999, c. 731, §ZZZ42 (AFF). PL 2001, c. 471, §A23 (RPR). PL 2015, c. 296, Pt. B, §4 (AMD).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§1556. Remedies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§1556. Remedies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§1556. REMEDIES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