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9</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uniform act, consideration must be given to the need to promote uniformity of the law with respect to its subject matter among the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9.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9.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19.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