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5-917</w:t>
        <w:t xml:space="preserve">.  </w:t>
      </w:r>
      <w:r>
        <w:rPr>
          <w:b/>
        </w:rPr>
        <w:t xml:space="preserve">Agent's liability</w:t>
      </w:r>
    </w:p>
    <w:p>
      <w:pPr>
        <w:jc w:val="both"/>
        <w:spacing w:before="100" w:after="100"/>
        <w:ind w:start="360"/>
        <w:ind w:firstLine="360"/>
      </w:pPr>
      <w:r>
        <w:rPr/>
      </w:r>
      <w:r>
        <w:rPr/>
      </w:r>
      <w:r>
        <w:t xml:space="preserve">An agent that violates this Part is liable to the principal or the principal's successors in interest for the amount required to:</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Restore property.</w:t>
        <w:t xml:space="preserve"> </w:t>
      </w:r>
      <w:r>
        <w:t xml:space="preserve"> </w:t>
      </w:r>
      <w:r>
        <w:t xml:space="preserve">Restore the value of the principal's property to what it would have been had the violation not occurred;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Reimburse fees and costs.</w:t>
        <w:t xml:space="preserve"> </w:t>
      </w:r>
      <w:r>
        <w:t xml:space="preserve"> </w:t>
      </w:r>
      <w:r>
        <w:t xml:space="preserve">Reimburse the principal or the principal's successors in interest for the attorney's fees and costs paid on the agent's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§5-917. Agent's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§5-917. Agent's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§5-917. AGENT'S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