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3966</w:t>
        <w:t xml:space="preserve">.  </w:t>
      </w:r>
      <w:r>
        <w:rPr>
          <w:b/>
        </w:rPr>
        <w:t xml:space="preserve">Animals in food stores</w:t>
      </w:r>
    </w:p>
    <w:p>
      <w:pPr>
        <w:jc w:val="both"/>
        <w:spacing w:before="100" w:after="100"/>
        <w:ind w:start="360"/>
        <w:ind w:firstLine="360"/>
      </w:pPr>
      <w:r>
        <w:rPr/>
      </w:r>
      <w:r>
        <w:rPr/>
      </w:r>
      <w:r>
        <w:t xml:space="preserve">It is unlawful for any person to bring an animal into a store where food is sold for human consumption or into a restaurant where food is prepared and served on the premises. This section does not apply to a person requiring the services of a service animal.</w:t>
      </w:r>
      <w:r>
        <w:t xml:space="preserve">  </w:t>
      </w:r>
      <w:r xmlns:wp="http://schemas.openxmlformats.org/drawingml/2010/wordprocessingDrawing" xmlns:w15="http://schemas.microsoft.com/office/word/2012/wordml">
        <w:rPr>
          <w:rFonts w:ascii="Arial" w:hAnsi="Arial" w:cs="Arial"/>
          <w:sz w:val="22"/>
          <w:szCs w:val="22"/>
        </w:rPr>
        <w:t xml:space="preserve">[PL 2013, c. 264, §1 (AMD).]</w:t>
      </w:r>
    </w:p>
    <w:p>
      <w:pPr>
        <w:jc w:val="both"/>
        <w:spacing w:before="100" w:after="100"/>
        <w:ind w:start="360"/>
        <w:ind w:firstLine="360"/>
      </w:pPr>
      <w:r>
        <w:rPr/>
      </w:r>
      <w:r>
        <w:rPr/>
      </w:r>
      <w:r>
        <w:t xml:space="preserve">For the purposes of this section, "service animal" has the same meaning as set forth in </w:t>
      </w:r>
      <w:r>
        <w:t>Title 5, section 4553, subsection 9‑E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§94 (NEW). PL 2005, c. 318, §1 (AMD). PL 2007, c. 664, §23 (AMD). PL 2011, c. 369, §9 (AMD). PL 2013, c. 264,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§3966. Animals in food stores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§3966. Animals in food stores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§3966. ANIMALS IN FOOD STORES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