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Forgery</w:t>
      </w:r>
    </w:p>
    <w:p>
      <w:pPr>
        <w:jc w:val="both"/>
        <w:spacing w:before="100" w:after="100"/>
        <w:ind w:start="360"/>
        <w:ind w:firstLine="360"/>
      </w:pPr>
      <w:r>
        <w:rPr>
          <w:b/>
        </w:rPr>
        <w:t>1</w:t>
        <w:t xml:space="preserve">.  </w:t>
      </w:r>
      <w:r>
        <w:rPr>
          <w:b/>
        </w:rPr>
      </w:r>
      <w:r>
        <w:t xml:space="preserve"> </w:t>
      </w:r>
      <w:r>
        <w:t xml:space="preserve">A person is guilty of forgery if, with the intent to defraud or deceive another person or government:</w:t>
      </w:r>
    </w:p>
    <w:p>
      <w:pPr>
        <w:jc w:val="both"/>
        <w:spacing w:before="100" w:after="0"/>
        <w:ind w:start="720"/>
      </w:pPr>
      <w:r>
        <w:rPr/>
        <w:t>A</w:t>
        <w:t xml:space="preserve">.  </w:t>
      </w:r>
      <w:r>
        <w:rPr/>
      </w:r>
      <w:r>
        <w:t xml:space="preserve">The person falsely makes, completes, endorses or alters a written instrument, or knowingly utters or possesses such an instrument.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A-1</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§26 (AMD).]</w:t>
      </w:r>
    </w:p>
    <w:p>
      <w:pPr>
        <w:jc w:val="both"/>
        <w:spacing w:before="100" w:after="0"/>
        <w:ind w:start="720"/>
      </w:pPr>
      <w:r>
        <w:rPr/>
        <w:t>B</w:t>
        <w:t xml:space="preserve">.  </w:t>
      </w:r>
      <w:r>
        <w:rPr/>
      </w:r>
      <w:r>
        <w:t xml:space="preserve">The person causes another, by deception, to sign or execute a written instrument, or utters such an instrument.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B-1</w:t>
        <w:t xml:space="preserve">.  </w:t>
      </w:r>
      <w:r>
        <w:rPr/>
      </w:r>
      <w:r>
        <w:t xml:space="preserve">The person violates </w:t>
      </w:r>
      <w:r>
        <w:t>paragraph B</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§§26, 27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§13 (RP); PL 2001, c. 667, Pt. D, §36 (AFF).]</w:t>
      </w:r>
    </w:p>
    <w:p>
      <w:pPr>
        <w:jc w:val="both"/>
        <w:spacing w:before="100" w:after="0"/>
        <w:ind w:start="360"/>
        <w:ind w:firstLine="360"/>
      </w:pPr>
      <w:r>
        <w:rPr>
          <w:b/>
        </w:rPr>
        <w:t>3</w:t>
        <w:t xml:space="preserve">.  </w:t>
      </w:r>
      <w:r>
        <w:rPr>
          <w:b/>
        </w:rPr>
      </w:r>
      <w:r>
        <w:t xml:space="preserve"> </w:t>
      </w:r>
      <w:r>
        <w:t xml:space="preserve">Amounts of value involved in forgeries may be aggregated in the same manner as provided in </w:t>
      </w:r>
      <w:r>
        <w:t>section 352, subsection 5, paragraph E</w:t>
      </w:r>
      <w:r>
        <w:t xml:space="preserve">.  Prosecution of an aggregated forgery may be brought in any venue in which one of the aggregated forgeries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§§77,78 (AMD). PL 1977, c. 510, §58 (AMD). PL 1981, c. 317, §21 (AMD). PL 1989, c. 187, §§2,3 (AMD). PL 1995, c. 224, §6 (AMD). PL 2001, c. 383, §§75,76 (AMD). PL 2001, c. 383, §156 (AFF). PL 2001, c. 389, §6 (AMD). PL 2001, c. 667, §§D13,14 (AMD). PL 2001, c. 667, §D36 (AFF). PL 2007, c. 476, §§26,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Forgery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Forgery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§703. FORGERY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