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1466</w:t>
        <w:t xml:space="preserve">.  </w:t>
      </w:r>
      <w:r>
        <w:rPr>
          <w:b/>
        </w:rPr>
        <w:t xml:space="preserve">Summon to testify in this State</w:t>
      </w:r>
    </w:p>
    <w:p>
      <w:pPr>
        <w:jc w:val="both"/>
        <w:spacing w:before="100" w:after="100"/>
        <w:ind w:start="360"/>
        <w:ind w:firstLine="360"/>
      </w:pPr>
      <w:r>
        <w:rPr/>
      </w:r>
      <w:r>
        <w:rPr/>
      </w:r>
      <w:r>
        <w:t xml:space="preserve">If a person confined in a penal institution in any other state may be a material witness in a criminal action pending in a court of record or in a grand jury investigation in this State, a judge of the court may certify that there is a criminal proceeding or investigation by a grand jury or a criminal action pending in the court, that a person who is confined in a penal institution in the other state may be a material witness in the proceeding, investigation or action and that the person's presence will be required during a specified time. The certificate must be presented to a judge of a court of record in the other state having jurisdiction over the prisoner confined, and a notice must be given to the attorney general of the state in which the prisoner is confined.</w:t>
      </w:r>
      <w:r>
        <w:t xml:space="preserve">  </w:t>
      </w:r>
      <w:r xmlns:wp="http://schemas.openxmlformats.org/drawingml/2010/wordprocessingDrawing" xmlns:w15="http://schemas.microsoft.com/office/word/2012/wordml">
        <w:rPr>
          <w:rFonts w:ascii="Arial" w:hAnsi="Arial" w:cs="Arial"/>
          <w:sz w:val="22"/>
          <w:szCs w:val="22"/>
        </w:rPr>
        <w:t xml:space="preserve">[RR 2023, c. 2, Pt. D, §65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317 (NEW). RR 2023, c. 2, Pt. D, §65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§1466. Summon to testify in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§1466. Summon to testify in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§1466. SUMMON TO TESTIFY IN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