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w:t>
        <w:t xml:space="preserve">.  </w:t>
      </w:r>
      <w:r>
        <w:rPr>
          <w:b/>
        </w:rPr>
        <w:t xml:space="preserve">Actions against sheriff for escape; for misconduct</w:t>
      </w:r>
    </w:p>
    <w:p>
      <w:pPr>
        <w:jc w:val="both"/>
        <w:spacing w:before="100" w:after="100"/>
        <w:ind w:start="360"/>
        <w:ind w:firstLine="360"/>
      </w:pPr>
      <w:r>
        <w:rPr/>
      </w:r>
      <w:r>
        <w:rPr/>
      </w:r>
      <w:r>
        <w:t xml:space="preserve">Actions for escape of prisoners committed on execution shall be commenced within one year after the cause of action accrues, but actions against a sheriff, for negligence or misconduct of himself or his deputies, shall be commenced within 4 years after the cause of action accrues.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 Actions against sheriff for escape; for misconduct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 Actions against sheriff for escape; for misconduct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§851. ACTIONS AGAINST SHERIFF FOR ESCAPE; FOR MISCONDUCT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