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7202</w:t>
        <w:t xml:space="preserve">.  </w:t>
      </w:r>
      <w:r>
        <w:rPr>
          <w:b/>
        </w:rPr>
        <w:t xml:space="preserve">Filing of information</w:t>
      </w:r>
    </w:p>
    <w:p>
      <w:pPr>
        <w:jc w:val="both"/>
        <w:spacing w:before="100" w:after="100"/>
        <w:ind w:start="360"/>
        <w:ind w:firstLine="360"/>
      </w:pPr>
      <w:r>
        <w:rPr/>
      </w:r>
      <w:r>
        <w:rPr/>
      </w:r>
      <w:r>
        <w:t xml:space="preserve">When the Legislature or Governor and Council direct, the Attorney General shall file an information in the Superior Court in the county where the lands lie stating the grant and conditions, the breaches and the claims of the State.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§7202. Filing of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§7202. Filing of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§7202. FILING OF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