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1971</w:t>
        <w:t xml:space="preserve">.  </w:t>
      </w:r>
      <w:r>
        <w:rPr>
          <w:b/>
        </w:rPr>
        <w:t xml:space="preserve">Title</w:t>
      </w:r>
    </w:p>
    <w:p>
      <w:pPr>
        <w:jc w:val="both"/>
        <w:spacing w:before="100" w:after="100"/>
        <w:ind w:start="360"/>
        <w:ind w:firstLine="360"/>
      </w:pPr>
      <w:r>
        <w:rPr/>
      </w:r>
      <w:r>
        <w:rPr/>
      </w:r>
      <w:r>
        <w:t xml:space="preserve">This subchapter shall be known and may be cited as the "Employee Cooperative Corporations Act."</w:t>
      </w:r>
      <w:r>
        <w:t xml:space="preserve">  </w:t>
      </w:r>
      <w:r xmlns:wp="http://schemas.openxmlformats.org/drawingml/2010/wordprocessingDrawing" xmlns:w15="http://schemas.microsoft.com/office/word/2012/wordml">
        <w:rPr>
          <w:rFonts w:ascii="Arial" w:hAnsi="Arial" w:cs="Arial"/>
          <w:sz w:val="22"/>
          <w:szCs w:val="22"/>
        </w:rPr>
        <w:t xml:space="preserve">[PL 1983, c. 136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§1971.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