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1262</w:t>
        <w:t xml:space="preserve">.  </w:t>
      </w:r>
      <w:r>
        <w:rPr>
          <w:b/>
        </w:rPr>
        <w:t xml:space="preserve">Bylaws and ordinances</w:t>
      </w:r>
    </w:p>
    <w:p>
      <w:pPr>
        <w:jc w:val="both"/>
        <w:spacing w:before="100" w:after="100"/>
        <w:ind w:start="360"/>
        <w:ind w:firstLine="360"/>
      </w:pPr>
      <w:r>
        <w:rPr/>
      </w:r>
      <w:r>
        <w:rPr/>
      </w:r>
      <w:r>
        <w:t xml:space="preserve">A city or town may pass such ordinances or bylaws as may be necessary for the purposes of </w:t>
      </w:r>
      <w:r>
        <w:t>section 1261</w:t>
      </w:r>
      <w:r>
        <w:t xml:space="preserve"> and not repugnant to law, and may receive such money for said purposes, and may invest and hold the same as provided in </w:t>
      </w:r>
      <w:r>
        <w:t>section 1261</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§1262. Bylaws and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§1262. Bylaws and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§1262. BYLAWS AND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