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Unanimous action by members without a meeting</w:t>
      </w:r>
    </w:p>
    <w:p>
      <w:pPr>
        <w:jc w:val="both"/>
        <w:spacing w:before="100" w:after="100"/>
        <w:ind w:start="360"/>
        <w:ind w:firstLine="360"/>
      </w:pPr>
      <w:r>
        <w:rPr/>
      </w:r>
      <w:r>
        <w:rPr/>
      </w:r>
      <w:r>
        <w:t xml:space="preserve">Any action required or permitted under this Act to be taken at a meeting of the members may be taken without a meeting if written consents, setting forth the action so taken, are signed by all the members entitled to vote on such action and are filed with the clerk of the corporation as part of the corporate records. Such written consents shall have the same effect as a unanimous vote of the members and may be stated as such in any certificate or document required or permitted to be filed with the Secretary of State, and in any certificate or document prepared or certified by any officer of the corporation for any purpose.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Unanimous action by members without a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Unanimous action by members without a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§606. UNANIMOUS ACTION BY MEMBERS WITHOUT A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