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8886</w:t>
        <w:t xml:space="preserve">.  </w:t>
      </w:r>
      <w:r>
        <w:rPr>
          <w:b/>
        </w:rPr>
        <w:t xml:space="preserve">Reports</w:t>
      </w:r>
    </w:p>
    <w:p>
      <w:pPr>
        <w:jc w:val="both"/>
        <w:spacing w:before="100" w:after="100"/>
        <w:ind w:start="360"/>
        <w:ind w:firstLine="360"/>
      </w:pPr>
      <w:r>
        <w:rPr/>
      </w:r>
      <w:r>
        <w:rPr/>
      </w:r>
      <w:r>
        <w:t xml:space="preserve">The director shall produce the following reports.</w:t>
      </w:r>
      <w:r>
        <w:t xml:space="preserve">  </w:t>
      </w:r>
      <w:r xmlns:wp="http://schemas.openxmlformats.org/drawingml/2010/wordprocessingDrawing" xmlns:w15="http://schemas.microsoft.com/office/word/2012/wordml">
        <w:rPr>
          <w:rFonts w:ascii="Arial" w:hAnsi="Arial" w:cs="Arial"/>
          <w:sz w:val="22"/>
          <w:szCs w:val="22"/>
        </w:rPr>
        <w:t xml:space="preserve">[PL 1989, c. 555, §12 (NEW); PL 1989, c. 600, Pt. B, §11 (AFF).]</w:t>
      </w:r>
    </w:p>
    <w:p>
      <w:pPr>
        <w:jc w:val="both"/>
        <w:spacing w:before="100" w:after="0"/>
        <w:ind w:start="360"/>
        <w:ind w:firstLine="360"/>
      </w:pPr>
      <w:r>
        <w:rPr>
          <w:b/>
        </w:rPr>
        <w:t>1</w:t>
        <w:t xml:space="preserve">.  </w:t>
      </w:r>
      <w:r>
        <w:rPr>
          <w:b/>
        </w:rPr>
        <w:t xml:space="preserve">Harvesting practices.</w:t>
        <w:t xml:space="preserve"> </w:t>
      </w:r>
      <w:r>
        <w:t xml:space="preserve"> </w:t>
      </w:r>
      <w:r>
        <w:t xml:space="preserve">Utilizing a sample of forest landowner reports and any other appropriate survey methods, the director shall tabulate an annual survey of the methods of harvesting and the harvest practices employed.  The information on harvesting must include, but is not limited to, the silvicultural prescriptions employed, the estimated acreage of various harvest methods, including clear-cutting, the extent of whole-tree harvesting of both solid and chipped wood, the number of clear-cuts over 75 acres in size, the total acres planted and the total acres precommercially thinned.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532, §11 (AMD).]</w:t>
      </w:r>
    </w:p>
    <w:p>
      <w:pPr>
        <w:jc w:val="both"/>
        <w:spacing w:before="100" w:after="100"/>
        <w:ind w:start="360"/>
        <w:ind w:firstLine="360"/>
      </w:pPr>
      <w:r>
        <w:rPr>
          <w:b/>
        </w:rPr>
        <w:t>2</w:t>
        <w:t xml:space="preserve">.  </w:t>
      </w:r>
      <w:r>
        <w:rPr>
          <w:b/>
        </w:rPr>
        <w:t xml:space="preserve">Annual price reports.</w:t>
        <w:t xml:space="preserve"> </w:t>
      </w:r>
      <w:r>
        <w:t xml:space="preserve"> </w:t>
      </w:r>
      <w:r>
        <w:t xml:space="preserve">The bureau shall publish, annually, a report on prices as specified below.  These reports must be reported by zones as determined by the director and must include a statewide average of all zones.</w:t>
      </w:r>
    </w:p>
    <w:p>
      <w:pPr>
        <w:jc w:val="both"/>
        <w:spacing w:before="100" w:after="0"/>
        <w:ind w:start="720"/>
      </w:pPr>
      <w:r>
        <w:rPr/>
        <w:t>A</w:t>
        <w:t xml:space="preserve">.  </w:t>
      </w:r>
      <w:r>
        <w:rPr/>
      </w:r>
      <w:r>
        <w:t xml:space="preserve">The reports must include stumpage prices paid for forest tree species of the State as reported pursuant to </w:t>
      </w:r>
      <w:r>
        <w:t>section 8885</w:t>
      </w:r>
      <w:r>
        <w:t xml:space="preserve">.  Prices for other forest products may be collected using acceptable survey techniques.</w:t>
      </w:r>
      <w:r>
        <w:t xml:space="preserve">  </w:t>
      </w:r>
      <w:r xmlns:wp="http://schemas.openxmlformats.org/drawingml/2010/wordprocessingDrawing" xmlns:w15="http://schemas.microsoft.com/office/word/2012/wordml">
        <w:rPr>
          <w:rFonts w:ascii="Arial" w:hAnsi="Arial" w:cs="Arial"/>
          <w:sz w:val="22"/>
          <w:szCs w:val="22"/>
        </w:rPr>
        <w:t xml:space="preserve">[PL 1997, c. 720, §18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133,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133, §5 (AMD); PL 2011, c. 657, Pt. W,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§12 (NEW). PL 1989, c. 600, §B11 (AMD). PL 1997, c. 720, §18 (AMD). PL 2005, c. 133, §5 (AMD). PL 2011, c. 532, §11 (AMD). PL 2011, c. 657, Pt. W,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§8886.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§8886.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§8886.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