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6502-B</w:t>
        <w:t xml:space="preserve">.  </w:t>
      </w:r>
      <w:r>
        <w:rPr>
          <w:b/>
        </w:rPr>
        <w:t xml:space="preserve">Carrier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engage in the activities authorized under this section without a current carrier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332, §2 (NEW); PL 2019, c. 332, §3 (AFF).]</w:t>
      </w:r>
    </w:p>
    <w:p>
      <w:pPr>
        <w:jc w:val="both"/>
        <w:spacing w:before="100" w:after="0"/>
        <w:ind w:start="360"/>
        <w:ind w:firstLine="360"/>
      </w:pPr>
      <w:r>
        <w:rPr>
          <w:b/>
        </w:rPr>
        <w:t>2</w:t>
        <w:t xml:space="preserve">.  </w:t>
      </w:r>
      <w:r>
        <w:rPr>
          <w:b/>
        </w:rPr>
        <w:t xml:space="preserve">Licensed activity.</w:t>
        <w:t xml:space="preserve"> </w:t>
      </w:r>
      <w:r>
        <w:t xml:space="preserve"> </w:t>
      </w:r>
      <w:r>
        <w:t xml:space="preserve">If rules adopted pursuant to </w:t>
      </w:r>
      <w:r>
        <w:t>subsection 5</w:t>
      </w:r>
      <w:r>
        <w:t xml:space="preserve"> allow vessels to possess or transport fish, the holder of a carrier license may possess or transport on the vessel listed on the carrier license Atlantic herring or Atlantic menhaden that the holder has not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332, §2 (NEW); PL 2019, c. 332, §3 (AFF).]</w:t>
      </w:r>
    </w:p>
    <w:p>
      <w:pPr>
        <w:jc w:val="both"/>
        <w:spacing w:before="100" w:after="0"/>
        <w:ind w:start="360"/>
        <w:ind w:firstLine="360"/>
      </w:pPr>
      <w:r>
        <w:rPr>
          <w:b/>
        </w:rPr>
        <w:t>3</w:t>
        <w:t xml:space="preserve">.  </w:t>
      </w:r>
      <w:r>
        <w:rPr>
          <w:b/>
        </w:rPr>
        <w:t xml:space="preserve">Eligibility.</w:t>
        <w:t xml:space="preserve"> </w:t>
      </w:r>
      <w:r>
        <w:t xml:space="preserve"> </w:t>
      </w:r>
      <w:r>
        <w:t xml:space="preserve">A carrier license may be issued only to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332, §2 (NEW); PL 2019, c. 332, §3 (AFF).]</w:t>
      </w:r>
    </w:p>
    <w:p>
      <w:pPr>
        <w:jc w:val="both"/>
        <w:spacing w:before="100" w:after="0"/>
        <w:ind w:start="360"/>
        <w:ind w:firstLine="360"/>
      </w:pPr>
      <w:r>
        <w:rPr>
          <w:b/>
        </w:rPr>
        <w:t>4</w:t>
        <w:t xml:space="preserve">.  </w:t>
      </w:r>
      <w:r>
        <w:rPr>
          <w:b/>
        </w:rPr>
        <w:t xml:space="preserve">Fees.</w:t>
        <w:t xml:space="preserve"> </w:t>
      </w:r>
      <w:r>
        <w:t xml:space="preserve"> </w:t>
      </w:r>
      <w:r>
        <w:t xml:space="preserve">The fee for a carrier license is $98.  The commissioner shall deposit the fee in the Pelagic and Anadromous Fisheries Fund established under </w:t>
      </w:r>
      <w:r>
        <w:t>section 6041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332, §2 (NEW); PL 2019, c. 332, §3 (AFF).]</w:t>
      </w:r>
    </w:p>
    <w:p>
      <w:pPr>
        <w:jc w:val="both"/>
        <w:spacing w:before="100" w:after="0"/>
        <w:ind w:start="360"/>
        <w:ind w:firstLine="360"/>
      </w:pPr>
      <w:r>
        <w:rPr>
          <w:b/>
        </w:rPr>
        <w:t>5</w:t>
        <w:t xml:space="preserve">.  </w:t>
      </w:r>
      <w:r>
        <w:rPr>
          <w:b/>
        </w:rPr>
        <w:t xml:space="preserve">Rules.</w:t>
        <w:t xml:space="preserve"> </w:t>
      </w:r>
      <w:r>
        <w:t xml:space="preserve"> </w:t>
      </w:r>
      <w:r>
        <w:t xml:space="preserve">The commissioner may adopt rules regarding the operations of vessels possessing or transporting fish pursuant to a carrier license.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332, §2 (NEW); PL 2019, c. 332, §3 (AFF).]</w:t>
      </w:r>
    </w:p>
    <w:p>
      <w:pPr>
        <w:jc w:val="both"/>
        <w:spacing w:before="100" w:after="0"/>
        <w:ind w:start="360"/>
        <w:ind w:firstLine="360"/>
      </w:pPr>
      <w:r>
        <w:rPr>
          <w:b/>
        </w:rPr>
        <w:t>6</w:t>
        <w:t xml:space="preserve">.  </w:t>
      </w:r>
      <w:r>
        <w:rPr>
          <w:b/>
        </w:rPr>
        <w:t xml:space="preserve">Violation.</w:t>
        <w:t xml:space="preserve"> </w:t>
      </w:r>
      <w:r>
        <w:t xml:space="preserve"> </w:t>
      </w:r>
      <w:r>
        <w:t xml:space="preserve">A person who violates this section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332, §2 (NEW); PL 2019, c. 332,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332, §2 (NEW). PL 2019, c. 332,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§6502-B. Carrier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§6502-B. Carrier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§6502-B. CARRIER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