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10906</w:t>
        <w:t xml:space="preserve">.  </w:t>
      </w:r>
      <w:r>
        <w:rPr>
          <w:b/>
        </w:rPr>
        <w:t xml:space="preserve">Violation of suspended or revoked license, permit or registration</w:t>
      </w:r>
    </w:p>
    <w:p>
      <w:pPr>
        <w:jc w:val="both"/>
        <w:spacing w:before="100" w:after="100"/>
        <w:ind w:start="360"/>
        <w:ind w:firstLine="360"/>
      </w:pPr>
      <w:r>
        <w:rPr/>
      </w:r>
      <w:r>
        <w:rPr/>
      </w:r>
      <w:r>
        <w:t xml:space="preserve">While a person's license, permit or recreational vehicle registration is under suspension or revocation under this Part, that person may not engage in the particular activity permitted by the license, permit or recreational vehicle registration that has been suspended or revoked.</w:t>
      </w:r>
      <w:r>
        <w:t xml:space="preserve">  </w:t>
      </w:r>
      <w:r xmlns:wp="http://schemas.openxmlformats.org/drawingml/2010/wordprocessingDrawing" xmlns:w15="http://schemas.microsoft.com/office/word/2012/wordml">
        <w:rPr>
          <w:rFonts w:ascii="Arial" w:hAnsi="Arial" w:cs="Arial"/>
          <w:sz w:val="22"/>
          <w:szCs w:val="22"/>
        </w:rPr>
        <w:t xml:space="preserve">[PL 2009, c. 340, §11 (AMD).]</w:t>
      </w:r>
    </w:p>
    <w:p>
      <w:pPr>
        <w:jc w:val="both"/>
        <w:spacing w:before="100" w:after="100"/>
        <w:ind w:start="360"/>
        <w:ind w:firstLine="360"/>
      </w:pPr>
      <w:r>
        <w:rPr/>
      </w:r>
      <w:r>
        <w:rPr/>
      </w:r>
      <w:r>
        <w:t xml:space="preserve">A person who violates this section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655, Pt. B, §105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§B105 (AMD). PL 2003, c. 655, §B422 (AFF). PL 2009, c. 340,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§10906. Violation of suspended or revoked license, permit or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§10906. Violation of suspended or revoked license, permit or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§10906. VIOLATION OF SUSPENDED OR REVOKED LICENSE, PERMIT OR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